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7DFD" w:rsidRDefault="00C817F3">
      <w:pPr>
        <w:spacing w:before="240" w:after="240" w:line="276" w:lineRule="auto"/>
        <w:jc w:val="center"/>
        <w:rPr>
          <w:rFonts w:ascii="Open Sans" w:eastAsia="Open Sans" w:hAnsi="Open Sans" w:cs="Open Sans"/>
          <w:b/>
          <w:color w:val="23389A"/>
          <w:sz w:val="36"/>
          <w:szCs w:val="36"/>
        </w:rPr>
      </w:pPr>
      <w:r>
        <w:rPr>
          <w:rFonts w:ascii="Open Sans" w:eastAsia="Open Sans" w:hAnsi="Open Sans" w:cs="Open Sans"/>
          <w:b/>
          <w:color w:val="23389A"/>
          <w:sz w:val="36"/>
          <w:szCs w:val="36"/>
        </w:rPr>
        <w:t>Submission</w:t>
      </w:r>
    </w:p>
    <w:p w14:paraId="00000002" w14:textId="77777777" w:rsidR="00A17DFD" w:rsidRDefault="00C817F3">
      <w:pPr>
        <w:spacing w:before="240" w:after="240" w:line="276" w:lineRule="auto"/>
        <w:rPr>
          <w:rFonts w:ascii="Open Sans" w:eastAsia="Open Sans" w:hAnsi="Open Sans" w:cs="Open Sans"/>
          <w:b/>
          <w:color w:val="333333"/>
          <w:sz w:val="26"/>
          <w:szCs w:val="26"/>
        </w:rPr>
      </w:pPr>
      <w:r>
        <w:rPr>
          <w:rFonts w:ascii="Open Sans" w:eastAsia="Open Sans" w:hAnsi="Open Sans" w:cs="Open Sans"/>
          <w:b/>
          <w:sz w:val="26"/>
          <w:szCs w:val="26"/>
        </w:rPr>
        <w:t xml:space="preserve"> </w:t>
      </w:r>
      <w:r>
        <w:rPr>
          <w:rFonts w:ascii="Open Sans" w:eastAsia="Open Sans" w:hAnsi="Open Sans" w:cs="Open Sans"/>
          <w:b/>
          <w:color w:val="333333"/>
          <w:sz w:val="26"/>
          <w:szCs w:val="26"/>
        </w:rPr>
        <w:t>A) Issues to be Decided</w:t>
      </w:r>
    </w:p>
    <w:p w14:paraId="00000003" w14:textId="77777777" w:rsidR="00A17DFD" w:rsidRDefault="00C817F3">
      <w:pPr>
        <w:numPr>
          <w:ilvl w:val="0"/>
          <w:numId w:val="13"/>
        </w:numPr>
        <w:spacing w:line="276" w:lineRule="auto"/>
        <w:rPr>
          <w:rFonts w:ascii="Open Sans" w:eastAsia="Open Sans" w:hAnsi="Open Sans" w:cs="Open Sans"/>
          <w:sz w:val="20"/>
          <w:szCs w:val="20"/>
        </w:rPr>
      </w:pPr>
      <w:r>
        <w:rPr>
          <w:rFonts w:ascii="Open Sans" w:eastAsia="Open Sans" w:hAnsi="Open Sans" w:cs="Open Sans"/>
          <w:color w:val="333333"/>
          <w:sz w:val="20"/>
          <w:szCs w:val="20"/>
        </w:rPr>
        <w:t>Tenant Doe (the “Tenant”) requests the dismissal of the landlord’s application for a monetary order for $1,450.</w:t>
      </w:r>
    </w:p>
    <w:p w14:paraId="00000004" w14:textId="77777777" w:rsidR="00A17DFD" w:rsidRDefault="00C817F3">
      <w:pPr>
        <w:numPr>
          <w:ilvl w:val="0"/>
          <w:numId w:val="13"/>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The Tenant requests $1,350 for double the security deposit.</w:t>
      </w:r>
    </w:p>
    <w:p w14:paraId="00000005" w14:textId="77777777" w:rsidR="00A17DFD" w:rsidRDefault="00C817F3">
      <w:pPr>
        <w:pStyle w:val="Heading1"/>
        <w:keepNext w:val="0"/>
        <w:keepLines w:val="0"/>
        <w:spacing w:before="300" w:after="160" w:line="264" w:lineRule="auto"/>
        <w:rPr>
          <w:rFonts w:ascii="Open Sans" w:eastAsia="Open Sans" w:hAnsi="Open Sans" w:cs="Open Sans"/>
          <w:color w:val="333333"/>
          <w:sz w:val="26"/>
          <w:szCs w:val="26"/>
        </w:rPr>
      </w:pPr>
      <w:bookmarkStart w:id="0" w:name="_heading=h.52nlgpn6n2nf" w:colFirst="0" w:colLast="0"/>
      <w:bookmarkEnd w:id="0"/>
      <w:r>
        <w:rPr>
          <w:rFonts w:ascii="Open Sans" w:eastAsia="Open Sans" w:hAnsi="Open Sans" w:cs="Open Sans"/>
          <w:color w:val="333333"/>
          <w:sz w:val="26"/>
          <w:szCs w:val="26"/>
        </w:rPr>
        <w:t>B) Relevant Facts</w:t>
      </w:r>
    </w:p>
    <w:p w14:paraId="00000006" w14:textId="77777777" w:rsidR="00A17DFD" w:rsidRDefault="00C817F3">
      <w:pPr>
        <w:pStyle w:val="Heading2"/>
        <w:keepNext w:val="0"/>
        <w:keepLines w:val="0"/>
        <w:spacing w:before="300" w:after="160" w:line="264" w:lineRule="auto"/>
        <w:rPr>
          <w:rFonts w:ascii="Open Sans" w:eastAsia="Open Sans" w:hAnsi="Open Sans" w:cs="Open Sans"/>
          <w:color w:val="333333"/>
          <w:sz w:val="20"/>
          <w:szCs w:val="20"/>
          <w:u w:val="single"/>
        </w:rPr>
      </w:pPr>
      <w:bookmarkStart w:id="1" w:name="_heading=h.1t1tj3swjg89" w:colFirst="0" w:colLast="0"/>
      <w:bookmarkEnd w:id="1"/>
      <w:r>
        <w:rPr>
          <w:rFonts w:ascii="Open Sans" w:eastAsia="Open Sans" w:hAnsi="Open Sans" w:cs="Open Sans"/>
          <w:color w:val="333333"/>
          <w:sz w:val="20"/>
          <w:szCs w:val="20"/>
          <w:u w:val="single"/>
        </w:rPr>
        <w:t>The Parties</w:t>
      </w:r>
    </w:p>
    <w:p w14:paraId="00000007"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08" w14:textId="77777777" w:rsidR="00A17DFD" w:rsidRDefault="00C817F3">
      <w:pPr>
        <w:numPr>
          <w:ilvl w:val="0"/>
          <w:numId w:val="22"/>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Tenant Doe was a tenant at [ADDRESS] (the “Unit”), pursuant to a one-year fixed term tenancy agreement (the “Tenancy Agreement”).</w:t>
      </w:r>
    </w:p>
    <w:p w14:paraId="00000009" w14:textId="77777777" w:rsidR="00A17DFD" w:rsidRDefault="00C817F3">
      <w:pP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1: Tenancy Agreement, page 6</w:t>
      </w:r>
    </w:p>
    <w:p w14:paraId="0000000A"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0B" w14:textId="77777777" w:rsidR="00A17DFD" w:rsidRDefault="00C817F3">
      <w:pPr>
        <w:numPr>
          <w:ilvl w:val="0"/>
          <w:numId w:val="16"/>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Landlord Smith (the “Landlord”) was the tenant’s landlord.</w:t>
      </w:r>
    </w:p>
    <w:p w14:paraId="0000000C" w14:textId="77777777" w:rsidR="00A17DFD" w:rsidRDefault="00C817F3">
      <w:pP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1: Tenancy Agreement, page 6</w:t>
      </w:r>
    </w:p>
    <w:p w14:paraId="0000000D"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0E" w14:textId="77777777" w:rsidR="00A17DFD" w:rsidRDefault="00C817F3">
      <w:pPr>
        <w:numPr>
          <w:ilvl w:val="0"/>
          <w:numId w:val="2"/>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The Tenancy Agreement began on </w:t>
      </w:r>
      <w:proofErr w:type="gramStart"/>
      <w:r>
        <w:rPr>
          <w:rFonts w:ascii="Open Sans" w:eastAsia="Open Sans" w:hAnsi="Open Sans" w:cs="Open Sans"/>
          <w:color w:val="333333"/>
          <w:sz w:val="20"/>
          <w:szCs w:val="20"/>
        </w:rPr>
        <w:t>April 1, 2020, and</w:t>
      </w:r>
      <w:proofErr w:type="gramEnd"/>
      <w:r>
        <w:rPr>
          <w:rFonts w:ascii="Open Sans" w:eastAsia="Open Sans" w:hAnsi="Open Sans" w:cs="Open Sans"/>
          <w:color w:val="333333"/>
          <w:sz w:val="20"/>
          <w:szCs w:val="20"/>
        </w:rPr>
        <w:t xml:space="preserve"> was to end on March 31, 2021.</w:t>
      </w:r>
    </w:p>
    <w:p w14:paraId="0000000F" w14:textId="77777777" w:rsidR="00A17DFD" w:rsidRDefault="00C817F3">
      <w:pP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1: Tenancy Agreement, page 6</w:t>
      </w:r>
    </w:p>
    <w:p w14:paraId="00000010"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11" w14:textId="77777777" w:rsidR="00A17DFD" w:rsidRDefault="00C817F3">
      <w:pPr>
        <w:pStyle w:val="Heading2"/>
        <w:keepNext w:val="0"/>
        <w:keepLines w:val="0"/>
        <w:spacing w:before="300" w:after="160" w:line="264" w:lineRule="auto"/>
        <w:rPr>
          <w:rFonts w:ascii="Open Sans" w:eastAsia="Open Sans" w:hAnsi="Open Sans" w:cs="Open Sans"/>
          <w:b w:val="0"/>
          <w:color w:val="333333"/>
          <w:sz w:val="20"/>
          <w:szCs w:val="20"/>
        </w:rPr>
      </w:pPr>
      <w:bookmarkStart w:id="2" w:name="_heading=h.jlhr7pruhrtf" w:colFirst="0" w:colLast="0"/>
      <w:bookmarkEnd w:id="2"/>
      <w:r>
        <w:rPr>
          <w:rFonts w:ascii="Open Sans" w:eastAsia="Open Sans" w:hAnsi="Open Sans" w:cs="Open Sans"/>
          <w:b w:val="0"/>
          <w:color w:val="333333"/>
          <w:sz w:val="20"/>
          <w:szCs w:val="20"/>
        </w:rPr>
        <w:t>The Issues</w:t>
      </w:r>
    </w:p>
    <w:p w14:paraId="00000012"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13" w14:textId="77777777" w:rsidR="00A17DFD" w:rsidRDefault="00C817F3">
      <w:pPr>
        <w:numPr>
          <w:ilvl w:val="0"/>
          <w:numId w:val="20"/>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April 1, 2020, the Tenant and Landlord signed a tenancy agreement requiring $1,350 in monthly rent and a security deposit of $675.</w:t>
      </w:r>
    </w:p>
    <w:p w14:paraId="00000014"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1: Tenancy Agreement, pages 6, 8</w:t>
      </w:r>
    </w:p>
    <w:p w14:paraId="00000015"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16" w14:textId="77777777" w:rsidR="00A17DFD" w:rsidRDefault="00C817F3">
      <w:pPr>
        <w:numPr>
          <w:ilvl w:val="0"/>
          <w:numId w:val="26"/>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April 1, 2020, the Tenant and Landlord signed a tenancy agreement containing a l</w:t>
      </w:r>
      <w:r>
        <w:rPr>
          <w:rFonts w:ascii="Open Sans" w:eastAsia="Open Sans" w:hAnsi="Open Sans" w:cs="Open Sans"/>
          <w:color w:val="333333"/>
          <w:sz w:val="20"/>
          <w:szCs w:val="20"/>
        </w:rPr>
        <w:t>iquidated damages clause of $675.</w:t>
      </w:r>
    </w:p>
    <w:p w14:paraId="00000017"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lastRenderedPageBreak/>
        <w:t>Tab 1: Tenancy Agreement, page 8</w:t>
      </w:r>
    </w:p>
    <w:p w14:paraId="00000018"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19" w14:textId="77777777" w:rsidR="00A17DFD" w:rsidRDefault="00C817F3">
      <w:pPr>
        <w:numPr>
          <w:ilvl w:val="0"/>
          <w:numId w:val="10"/>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April 1, 2020, the Tenant and Landlord signed a tenancy agreement containing a term requiring the automatic forfeiture of the security deposit in the event of a broken lease.</w:t>
      </w:r>
    </w:p>
    <w:p w14:paraId="0000001A"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1: Te</w:t>
      </w:r>
      <w:r>
        <w:rPr>
          <w:rFonts w:ascii="Open Sans" w:eastAsia="Open Sans" w:hAnsi="Open Sans" w:cs="Open Sans"/>
          <w:i/>
          <w:color w:val="333333"/>
          <w:sz w:val="20"/>
          <w:szCs w:val="20"/>
        </w:rPr>
        <w:t>nancy Agreement, page 9</w:t>
      </w:r>
    </w:p>
    <w:p w14:paraId="0000001B"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1C" w14:textId="77777777" w:rsidR="00A17DFD" w:rsidRDefault="00C817F3">
      <w:pPr>
        <w:numPr>
          <w:ilvl w:val="0"/>
          <w:numId w:val="27"/>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August 22, 2020, the Tenant gave one month’s written notice of her intention to move out by September 30, 2020.</w:t>
      </w:r>
    </w:p>
    <w:p w14:paraId="0000001D"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2: Tenant’s Notice Letter, page 12</w:t>
      </w:r>
    </w:p>
    <w:p w14:paraId="0000001E"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1F" w14:textId="77777777" w:rsidR="00A17DFD" w:rsidRDefault="00C817F3">
      <w:pPr>
        <w:numPr>
          <w:ilvl w:val="0"/>
          <w:numId w:val="23"/>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On August 23, 2020, the Landlord advised the Tenant that </w:t>
      </w:r>
      <w:proofErr w:type="gramStart"/>
      <w:r>
        <w:rPr>
          <w:rFonts w:ascii="Open Sans" w:eastAsia="Open Sans" w:hAnsi="Open Sans" w:cs="Open Sans"/>
          <w:color w:val="333333"/>
          <w:sz w:val="20"/>
          <w:szCs w:val="20"/>
        </w:rPr>
        <w:t>as a result of</w:t>
      </w:r>
      <w:proofErr w:type="gramEnd"/>
      <w:r>
        <w:rPr>
          <w:rFonts w:ascii="Open Sans" w:eastAsia="Open Sans" w:hAnsi="Open Sans" w:cs="Open Sans"/>
          <w:color w:val="333333"/>
          <w:sz w:val="20"/>
          <w:szCs w:val="20"/>
        </w:rPr>
        <w:t xml:space="preserve"> breaking her lease, she would be charged a $675 “penalty” according to the liquidated damages clause in the Tenancy Agreement.</w:t>
      </w:r>
    </w:p>
    <w:p w14:paraId="00000020"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Landlord’s evidence: Landlord’s Email #1, page 6</w:t>
      </w:r>
    </w:p>
    <w:p w14:paraId="00000021"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22" w14:textId="77777777" w:rsidR="00A17DFD" w:rsidRDefault="00C817F3">
      <w:pPr>
        <w:numPr>
          <w:ilvl w:val="0"/>
          <w:numId w:val="15"/>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August 24, 2020, the Tenant replied by email and explained her willingness to cooperate with the landlord’s efforts to re-rent the Unit.</w:t>
      </w:r>
    </w:p>
    <w:p w14:paraId="00000023"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2: Tenant’s Email, page 9</w:t>
      </w:r>
    </w:p>
    <w:p w14:paraId="00000024"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25" w14:textId="77777777" w:rsidR="00A17DFD" w:rsidRDefault="00C817F3">
      <w:pPr>
        <w:numPr>
          <w:ilvl w:val="0"/>
          <w:numId w:val="7"/>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September 30, 2020, the Tenant</w:t>
      </w:r>
      <w:r>
        <w:rPr>
          <w:rFonts w:ascii="Open Sans" w:eastAsia="Open Sans" w:hAnsi="Open Sans" w:cs="Open Sans"/>
          <w:color w:val="333333"/>
          <w:sz w:val="20"/>
          <w:szCs w:val="20"/>
        </w:rPr>
        <w:t xml:space="preserve"> moved out of the Unit.</w:t>
      </w:r>
    </w:p>
    <w:p w14:paraId="00000026"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3: Empty Unit Photo, page 10</w:t>
      </w:r>
    </w:p>
    <w:p w14:paraId="00000027"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28" w14:textId="77777777" w:rsidR="00A17DFD" w:rsidRDefault="00C817F3">
      <w:pPr>
        <w:numPr>
          <w:ilvl w:val="0"/>
          <w:numId w:val="1"/>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September 30, 2020, the Tenant and Landlord completed and signed a move-out condition inspection report, on which the Tenant included her forwarding address for the return of her security deposi</w:t>
      </w:r>
      <w:r>
        <w:rPr>
          <w:rFonts w:ascii="Open Sans" w:eastAsia="Open Sans" w:hAnsi="Open Sans" w:cs="Open Sans"/>
          <w:color w:val="333333"/>
          <w:sz w:val="20"/>
          <w:szCs w:val="20"/>
        </w:rPr>
        <w:t>t.</w:t>
      </w:r>
    </w:p>
    <w:p w14:paraId="00000029"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Landlord’s Evidence: Condition Inspection Report, pages 1-3</w:t>
      </w:r>
    </w:p>
    <w:p w14:paraId="0000002A"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2B" w14:textId="77777777" w:rsidR="00A17DFD" w:rsidRDefault="00C817F3">
      <w:pPr>
        <w:numPr>
          <w:ilvl w:val="0"/>
          <w:numId w:val="19"/>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On October 2, 2020, the Landlord informed the tenant via email that, in addition to the liquidated damages clause of $675, she will be charged $100 for cleaning costs.</w:t>
      </w:r>
    </w:p>
    <w:p w14:paraId="0000002C" w14:textId="77777777" w:rsidR="00A17DFD" w:rsidRDefault="00C817F3">
      <w:pPr>
        <w:pBdr>
          <w:top w:val="nil"/>
          <w:left w:val="nil"/>
          <w:bottom w:val="nil"/>
          <w:right w:val="nil"/>
          <w:between w:val="nil"/>
        </w:pBd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lastRenderedPageBreak/>
        <w:t>Landlord’s Evidence: La</w:t>
      </w:r>
      <w:r>
        <w:rPr>
          <w:rFonts w:ascii="Open Sans" w:eastAsia="Open Sans" w:hAnsi="Open Sans" w:cs="Open Sans"/>
          <w:i/>
          <w:color w:val="333333"/>
          <w:sz w:val="20"/>
          <w:szCs w:val="20"/>
        </w:rPr>
        <w:t>ndlord’s Email #2, page 7</w:t>
      </w:r>
    </w:p>
    <w:p w14:paraId="0000002D"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2E" w14:textId="77777777" w:rsidR="00A17DFD" w:rsidRDefault="00C817F3">
      <w:pPr>
        <w:pStyle w:val="Heading1"/>
        <w:keepNext w:val="0"/>
        <w:keepLines w:val="0"/>
        <w:spacing w:before="300" w:after="160" w:line="264" w:lineRule="auto"/>
        <w:rPr>
          <w:rFonts w:ascii="Open Sans" w:eastAsia="Open Sans" w:hAnsi="Open Sans" w:cs="Open Sans"/>
          <w:color w:val="333333"/>
          <w:sz w:val="26"/>
          <w:szCs w:val="26"/>
        </w:rPr>
      </w:pPr>
      <w:bookmarkStart w:id="3" w:name="_heading=h.m1w6434ntd5r" w:colFirst="0" w:colLast="0"/>
      <w:bookmarkEnd w:id="3"/>
      <w:r>
        <w:rPr>
          <w:rFonts w:ascii="Open Sans" w:eastAsia="Open Sans" w:hAnsi="Open Sans" w:cs="Open Sans"/>
          <w:color w:val="333333"/>
          <w:sz w:val="26"/>
          <w:szCs w:val="26"/>
        </w:rPr>
        <w:t>C) Relevant Law / Policy</w:t>
      </w:r>
    </w:p>
    <w:p w14:paraId="0000002F" w14:textId="77777777" w:rsidR="00A17DFD" w:rsidRDefault="00C817F3">
      <w:pPr>
        <w:pBdr>
          <w:top w:val="nil"/>
          <w:left w:val="nil"/>
          <w:bottom w:val="nil"/>
          <w:right w:val="nil"/>
          <w:between w:val="nil"/>
        </w:pBdr>
        <w:spacing w:after="160" w:line="276" w:lineRule="auto"/>
        <w:rPr>
          <w:rFonts w:ascii="Open Sans" w:eastAsia="Open Sans" w:hAnsi="Open Sans" w:cs="Open Sans"/>
          <w:color w:val="333333"/>
          <w:sz w:val="20"/>
          <w:szCs w:val="20"/>
          <w:u w:val="single"/>
        </w:rPr>
      </w:pPr>
      <w:r>
        <w:rPr>
          <w:rFonts w:ascii="Open Sans" w:eastAsia="Open Sans" w:hAnsi="Open Sans" w:cs="Open Sans"/>
          <w:i/>
          <w:color w:val="333333"/>
          <w:sz w:val="20"/>
          <w:szCs w:val="20"/>
          <w:u w:val="single"/>
        </w:rPr>
        <w:t>First</w:t>
      </w:r>
      <w:r>
        <w:rPr>
          <w:rFonts w:ascii="Open Sans" w:eastAsia="Open Sans" w:hAnsi="Open Sans" w:cs="Open Sans"/>
          <w:color w:val="333333"/>
          <w:sz w:val="20"/>
          <w:szCs w:val="20"/>
          <w:u w:val="single"/>
        </w:rPr>
        <w:t xml:space="preserve"> Issue: Liquidated Damages and Cleaning Costs</w:t>
      </w:r>
    </w:p>
    <w:p w14:paraId="00000030"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32" w14:textId="03CC6A27" w:rsidR="00A17DFD" w:rsidRPr="00784B73" w:rsidRDefault="00C817F3" w:rsidP="00784B73">
      <w:pPr>
        <w:numPr>
          <w:ilvl w:val="0"/>
          <w:numId w:val="3"/>
        </w:numPr>
        <w:spacing w:after="160" w:line="276" w:lineRule="auto"/>
        <w:rPr>
          <w:rFonts w:ascii="Open Sans" w:eastAsia="Open Sans" w:hAnsi="Open Sans" w:cs="Open Sans"/>
          <w:sz w:val="20"/>
          <w:szCs w:val="20"/>
        </w:rPr>
      </w:pPr>
      <w:r>
        <w:rPr>
          <w:rFonts w:ascii="Open Sans" w:eastAsia="Open Sans" w:hAnsi="Open Sans" w:cs="Open Sans"/>
          <w:i/>
          <w:color w:val="333333"/>
          <w:sz w:val="20"/>
          <w:szCs w:val="20"/>
        </w:rPr>
        <w:t>RTB Policy Guideline 4: Liquidated Damages</w:t>
      </w:r>
      <w:r>
        <w:rPr>
          <w:rFonts w:ascii="Open Sans" w:eastAsia="Open Sans" w:hAnsi="Open Sans" w:cs="Open Sans"/>
          <w:color w:val="333333"/>
          <w:sz w:val="20"/>
          <w:szCs w:val="20"/>
        </w:rPr>
        <w:t xml:space="preserve"> sets out that:</w:t>
      </w:r>
    </w:p>
    <w:p w14:paraId="00000033"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 liquidated damages clause is a clause in a tenancy agreement where the parties agree in advance the damages payable in the event of a breach of the tenancy agreement. The amount agreed to must be a genuine pre-estimate of the loss at the time the contrac</w:t>
      </w:r>
      <w:r>
        <w:rPr>
          <w:rFonts w:ascii="Open Sans" w:eastAsia="Open Sans" w:hAnsi="Open Sans" w:cs="Open Sans"/>
          <w:color w:val="333333"/>
          <w:sz w:val="20"/>
          <w:szCs w:val="20"/>
        </w:rPr>
        <w:t>t is entered into, otherwise the clause may be held to constitute a penalty and as a result will be unenforceable. In considering whether the sum is a penalty or liquidated damages, an arbitrator will consider the circumstances at the time the contract was</w:t>
      </w:r>
      <w:r>
        <w:rPr>
          <w:rFonts w:ascii="Open Sans" w:eastAsia="Open Sans" w:hAnsi="Open Sans" w:cs="Open Sans"/>
          <w:color w:val="333333"/>
          <w:sz w:val="20"/>
          <w:szCs w:val="20"/>
        </w:rPr>
        <w:t xml:space="preserve"> entered into.</w:t>
      </w:r>
    </w:p>
    <w:p w14:paraId="00000034"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36" w14:textId="67769C85" w:rsidR="00A17DFD" w:rsidRPr="00784B73" w:rsidRDefault="00C817F3" w:rsidP="00784B73">
      <w:pPr>
        <w:numPr>
          <w:ilvl w:val="0"/>
          <w:numId w:val="9"/>
        </w:numPr>
        <w:spacing w:after="160" w:line="276" w:lineRule="auto"/>
        <w:rPr>
          <w:rFonts w:ascii="Open Sans" w:eastAsia="Open Sans" w:hAnsi="Open Sans" w:cs="Open Sans"/>
          <w:sz w:val="20"/>
          <w:szCs w:val="20"/>
        </w:rPr>
      </w:pPr>
      <w:r>
        <w:rPr>
          <w:rFonts w:ascii="Open Sans" w:eastAsia="Open Sans" w:hAnsi="Open Sans" w:cs="Open Sans"/>
          <w:i/>
          <w:color w:val="333333"/>
          <w:sz w:val="20"/>
          <w:szCs w:val="20"/>
        </w:rPr>
        <w:t>Guideline 4</w:t>
      </w:r>
      <w:r>
        <w:rPr>
          <w:rFonts w:ascii="Open Sans" w:eastAsia="Open Sans" w:hAnsi="Open Sans" w:cs="Open Sans"/>
          <w:color w:val="333333"/>
          <w:sz w:val="20"/>
          <w:szCs w:val="20"/>
        </w:rPr>
        <w:t xml:space="preserve"> goes on to say that:</w:t>
      </w:r>
    </w:p>
    <w:p w14:paraId="00000037"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 clause which provides for the automatic forfeiture of the security deposit in the event of a breach will be held to be a penalty clause and not liquidated damages unless it can be shown that it is a gen</w:t>
      </w:r>
      <w:r>
        <w:rPr>
          <w:rFonts w:ascii="Open Sans" w:eastAsia="Open Sans" w:hAnsi="Open Sans" w:cs="Open Sans"/>
          <w:color w:val="333333"/>
          <w:sz w:val="20"/>
          <w:szCs w:val="20"/>
        </w:rPr>
        <w:t>uine pre-estimate of loss.</w:t>
      </w:r>
    </w:p>
    <w:p w14:paraId="00000038"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39" w14:textId="77777777" w:rsidR="00A17DFD" w:rsidRDefault="00C817F3">
      <w:pPr>
        <w:numPr>
          <w:ilvl w:val="0"/>
          <w:numId w:val="11"/>
        </w:numPr>
        <w:spacing w:after="160" w:line="276" w:lineRule="auto"/>
        <w:rPr>
          <w:rFonts w:ascii="Open Sans" w:eastAsia="Open Sans" w:hAnsi="Open Sans" w:cs="Open Sans"/>
          <w:sz w:val="20"/>
          <w:szCs w:val="20"/>
        </w:rPr>
      </w:pPr>
      <w:r>
        <w:rPr>
          <w:rFonts w:ascii="Open Sans" w:eastAsia="Open Sans" w:hAnsi="Open Sans" w:cs="Open Sans"/>
          <w:i/>
          <w:color w:val="333333"/>
          <w:sz w:val="20"/>
          <w:szCs w:val="20"/>
        </w:rPr>
        <w:t>Guideline 4</w:t>
      </w:r>
      <w:r>
        <w:rPr>
          <w:rFonts w:ascii="Open Sans" w:eastAsia="Open Sans" w:hAnsi="Open Sans" w:cs="Open Sans"/>
          <w:color w:val="333333"/>
          <w:sz w:val="20"/>
          <w:szCs w:val="20"/>
        </w:rPr>
        <w:t xml:space="preserve"> also sets out some tests to determine if a clause is a penalty clause:</w:t>
      </w:r>
    </w:p>
    <w:p w14:paraId="0000003A"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3B" w14:textId="77777777" w:rsidR="00A17DFD" w:rsidRDefault="00C817F3">
      <w:pPr>
        <w:numPr>
          <w:ilvl w:val="0"/>
          <w:numId w:val="17"/>
        </w:numPr>
        <w:spacing w:line="276" w:lineRule="auto"/>
        <w:rPr>
          <w:rFonts w:ascii="Open Sans" w:eastAsia="Open Sans" w:hAnsi="Open Sans" w:cs="Open Sans"/>
          <w:sz w:val="20"/>
          <w:szCs w:val="20"/>
        </w:rPr>
      </w:pPr>
      <w:r>
        <w:rPr>
          <w:rFonts w:ascii="Open Sans" w:eastAsia="Open Sans" w:hAnsi="Open Sans" w:cs="Open Sans"/>
          <w:color w:val="333333"/>
          <w:sz w:val="20"/>
          <w:szCs w:val="20"/>
        </w:rPr>
        <w:t>A sum is a penalty if it is extravagant in comparison to the greatest loss that could follow a breach.</w:t>
      </w:r>
    </w:p>
    <w:p w14:paraId="0000003C" w14:textId="77777777" w:rsidR="00A17DFD" w:rsidRDefault="00C817F3">
      <w:pPr>
        <w:numPr>
          <w:ilvl w:val="0"/>
          <w:numId w:val="17"/>
        </w:numPr>
        <w:spacing w:line="276" w:lineRule="auto"/>
        <w:rPr>
          <w:rFonts w:ascii="Open Sans" w:eastAsia="Open Sans" w:hAnsi="Open Sans" w:cs="Open Sans"/>
          <w:sz w:val="20"/>
          <w:szCs w:val="20"/>
        </w:rPr>
      </w:pPr>
      <w:r>
        <w:rPr>
          <w:rFonts w:ascii="Open Sans" w:eastAsia="Open Sans" w:hAnsi="Open Sans" w:cs="Open Sans"/>
          <w:color w:val="333333"/>
          <w:sz w:val="20"/>
          <w:szCs w:val="20"/>
        </w:rPr>
        <w:t>If an agreement is to pay money and a f</w:t>
      </w:r>
      <w:r>
        <w:rPr>
          <w:rFonts w:ascii="Open Sans" w:eastAsia="Open Sans" w:hAnsi="Open Sans" w:cs="Open Sans"/>
          <w:color w:val="333333"/>
          <w:sz w:val="20"/>
          <w:szCs w:val="20"/>
        </w:rPr>
        <w:t>ailure to pay requires that a greater amount be paid, the greater amount is a penalty.</w:t>
      </w:r>
    </w:p>
    <w:p w14:paraId="0000003D" w14:textId="77777777" w:rsidR="00A17DFD" w:rsidRDefault="00C817F3">
      <w:pPr>
        <w:numPr>
          <w:ilvl w:val="0"/>
          <w:numId w:val="17"/>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If a single lump sum is to be paid on occurrence of several events, some trivial some serious, there is a presumption that the sum is a penalty.</w:t>
      </w:r>
    </w:p>
    <w:p w14:paraId="0000003E"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3F" w14:textId="77777777" w:rsidR="00A17DFD" w:rsidRDefault="00C817F3">
      <w:pPr>
        <w:numPr>
          <w:ilvl w:val="0"/>
          <w:numId w:val="4"/>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Section 20 (e) of the </w:t>
      </w:r>
      <w:r>
        <w:rPr>
          <w:rFonts w:ascii="Open Sans" w:eastAsia="Open Sans" w:hAnsi="Open Sans" w:cs="Open Sans"/>
          <w:i/>
          <w:color w:val="333333"/>
          <w:sz w:val="20"/>
          <w:szCs w:val="20"/>
        </w:rPr>
        <w:t>Residential Tenancy Act</w:t>
      </w:r>
      <w:r>
        <w:rPr>
          <w:rFonts w:ascii="Open Sans" w:eastAsia="Open Sans" w:hAnsi="Open Sans" w:cs="Open Sans"/>
          <w:color w:val="333333"/>
          <w:sz w:val="20"/>
          <w:szCs w:val="20"/>
        </w:rPr>
        <w:t xml:space="preserve">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specifies that a landlord may not “require, or include as a term of a tenancy agreement, that the landlord automatically keeps all or part of the security deposit or the pet damage deposit at the en</w:t>
      </w:r>
      <w:r>
        <w:rPr>
          <w:rFonts w:ascii="Open Sans" w:eastAsia="Open Sans" w:hAnsi="Open Sans" w:cs="Open Sans"/>
          <w:color w:val="333333"/>
          <w:sz w:val="20"/>
          <w:szCs w:val="20"/>
        </w:rPr>
        <w:t>d of the tenancy agreement.”</w:t>
      </w:r>
    </w:p>
    <w:p w14:paraId="00000040"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lastRenderedPageBreak/>
        <w:t xml:space="preserve"> </w:t>
      </w:r>
    </w:p>
    <w:p w14:paraId="00000041" w14:textId="77777777" w:rsidR="00A17DFD" w:rsidRDefault="00C817F3">
      <w:pPr>
        <w:numPr>
          <w:ilvl w:val="0"/>
          <w:numId w:val="21"/>
        </w:numPr>
        <w:spacing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Section 5 (1) of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says that “Landlords and tenants may not avoid or contract out of this Act or the regulations.” Section 5 (2) of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says that “Any attempt to avoid or contract out of this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or the regulations </w:t>
      </w:r>
      <w:r>
        <w:rPr>
          <w:rFonts w:ascii="Open Sans" w:eastAsia="Open Sans" w:hAnsi="Open Sans" w:cs="Open Sans"/>
          <w:color w:val="333333"/>
          <w:sz w:val="20"/>
          <w:szCs w:val="20"/>
        </w:rPr>
        <w:t>is of no effect.”</w:t>
      </w:r>
    </w:p>
    <w:p w14:paraId="00000042" w14:textId="77777777" w:rsidR="00A17DFD" w:rsidRDefault="00C817F3">
      <w:pPr>
        <w:numPr>
          <w:ilvl w:val="0"/>
          <w:numId w:val="21"/>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RTB </w:t>
      </w:r>
      <w:r>
        <w:rPr>
          <w:rFonts w:ascii="Open Sans" w:eastAsia="Open Sans" w:hAnsi="Open Sans" w:cs="Open Sans"/>
          <w:i/>
          <w:color w:val="333333"/>
          <w:sz w:val="20"/>
          <w:szCs w:val="20"/>
        </w:rPr>
        <w:t>Policy Guideline 8: Unconscionable and Material Terms</w:t>
      </w:r>
      <w:r>
        <w:rPr>
          <w:rFonts w:ascii="Open Sans" w:eastAsia="Open Sans" w:hAnsi="Open Sans" w:cs="Open Sans"/>
          <w:color w:val="333333"/>
          <w:sz w:val="20"/>
          <w:szCs w:val="20"/>
        </w:rPr>
        <w:t xml:space="preserve"> sets out that “a term of a tenancy agreement is unconscionable if the term is oppressive or grossly unfair to one party.” It goes on to describe the test for whether a term is unconscionable as being:</w:t>
      </w:r>
    </w:p>
    <w:p w14:paraId="00000043"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whether the term is so one-sided as to oppress or unfa</w:t>
      </w:r>
      <w:r>
        <w:rPr>
          <w:rFonts w:ascii="Open Sans" w:eastAsia="Open Sans" w:hAnsi="Open Sans" w:cs="Open Sans"/>
          <w:color w:val="333333"/>
          <w:sz w:val="20"/>
          <w:szCs w:val="20"/>
        </w:rPr>
        <w:t>irly surprise the other party. Such a term may be a clause limiting damages or granting a procedural advantage. Exploiting the age, infirmity or mental weakness of a party may be important factors. A term may be found to be unconscionable when one party to</w:t>
      </w:r>
      <w:r>
        <w:rPr>
          <w:rFonts w:ascii="Open Sans" w:eastAsia="Open Sans" w:hAnsi="Open Sans" w:cs="Open Sans"/>
          <w:color w:val="333333"/>
          <w:sz w:val="20"/>
          <w:szCs w:val="20"/>
        </w:rPr>
        <w:t>ok advantage of the ignorance, need or distress of a weaker party.</w:t>
      </w:r>
    </w:p>
    <w:p w14:paraId="00000044"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45" w14:textId="77777777" w:rsidR="00A17DFD" w:rsidRDefault="00C817F3">
      <w:pPr>
        <w:pStyle w:val="Heading2"/>
        <w:keepNext w:val="0"/>
        <w:keepLines w:val="0"/>
        <w:spacing w:before="300" w:after="160" w:line="264" w:lineRule="auto"/>
        <w:rPr>
          <w:rFonts w:ascii="Open Sans" w:eastAsia="Open Sans" w:hAnsi="Open Sans" w:cs="Open Sans"/>
          <w:b w:val="0"/>
          <w:color w:val="333333"/>
          <w:sz w:val="20"/>
          <w:szCs w:val="20"/>
          <w:u w:val="single"/>
        </w:rPr>
      </w:pPr>
      <w:bookmarkStart w:id="4" w:name="_heading=h.rr090v9y0oqn" w:colFirst="0" w:colLast="0"/>
      <w:bookmarkEnd w:id="4"/>
      <w:r>
        <w:rPr>
          <w:rFonts w:ascii="Open Sans" w:eastAsia="Open Sans" w:hAnsi="Open Sans" w:cs="Open Sans"/>
          <w:b w:val="0"/>
          <w:color w:val="333333"/>
          <w:sz w:val="20"/>
          <w:szCs w:val="20"/>
          <w:u w:val="single"/>
        </w:rPr>
        <w:t>Second Issue: Security Deposit</w:t>
      </w:r>
    </w:p>
    <w:p w14:paraId="00000046" w14:textId="77777777" w:rsidR="00A17DFD" w:rsidRDefault="00C817F3">
      <w:pPr>
        <w:numPr>
          <w:ilvl w:val="0"/>
          <w:numId w:val="6"/>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Sections 38 (1) and (6) of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govern the return of a tenant’s security deposit at the end of a tenancy where a Condition Inspection Report was complete</w:t>
      </w:r>
      <w:r>
        <w:rPr>
          <w:rFonts w:ascii="Open Sans" w:eastAsia="Open Sans" w:hAnsi="Open Sans" w:cs="Open Sans"/>
          <w:color w:val="333333"/>
          <w:sz w:val="20"/>
          <w:szCs w:val="20"/>
        </w:rPr>
        <w:t>d:</w:t>
      </w:r>
    </w:p>
    <w:p w14:paraId="00000047"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48"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38 (1) Except as provided in subsection (3) or (4) (a), within 15 days after the later of</w:t>
      </w:r>
    </w:p>
    <w:p w14:paraId="00000049"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 the date the tenancy ends, and</w:t>
      </w:r>
    </w:p>
    <w:p w14:paraId="0000004A"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(b) the date the landlord receives the tenant's forwarding address in writing,</w:t>
      </w:r>
    </w:p>
    <w:p w14:paraId="0000004B"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4C"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the landlord must do one of the following:</w:t>
      </w:r>
    </w:p>
    <w:p w14:paraId="0000004D"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4E"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(c) repay, as provided in subsection (8), any security deposit or pet damage deposit to the tenant with interest calculated in accordance with the </w:t>
      </w:r>
      <w:proofErr w:type="gramStart"/>
      <w:r>
        <w:rPr>
          <w:rFonts w:ascii="Open Sans" w:eastAsia="Open Sans" w:hAnsi="Open Sans" w:cs="Open Sans"/>
          <w:color w:val="333333"/>
          <w:sz w:val="20"/>
          <w:szCs w:val="20"/>
        </w:rPr>
        <w:t>regulations;</w:t>
      </w:r>
      <w:proofErr w:type="gramEnd"/>
    </w:p>
    <w:p w14:paraId="0000004F"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(d) make an application for dispute resolution claiming against the security deposit or pet dama</w:t>
      </w:r>
      <w:r>
        <w:rPr>
          <w:rFonts w:ascii="Open Sans" w:eastAsia="Open Sans" w:hAnsi="Open Sans" w:cs="Open Sans"/>
          <w:color w:val="333333"/>
          <w:sz w:val="20"/>
          <w:szCs w:val="20"/>
        </w:rPr>
        <w:t>ge deposit.</w:t>
      </w:r>
    </w:p>
    <w:p w14:paraId="00000051" w14:textId="0538E190"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w:t>
      </w:r>
    </w:p>
    <w:p w14:paraId="7232101A" w14:textId="77777777" w:rsidR="00784B73" w:rsidRDefault="00784B73">
      <w:pPr>
        <w:spacing w:after="160" w:line="276" w:lineRule="auto"/>
        <w:rPr>
          <w:rFonts w:ascii="Open Sans" w:eastAsia="Open Sans" w:hAnsi="Open Sans" w:cs="Open Sans"/>
          <w:color w:val="333333"/>
          <w:sz w:val="20"/>
          <w:szCs w:val="20"/>
        </w:rPr>
      </w:pPr>
    </w:p>
    <w:p w14:paraId="00000052"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(6) If a landlord does not comply with subsection (1), the landlord</w:t>
      </w:r>
    </w:p>
    <w:p w14:paraId="00000053"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(a) </w:t>
      </w:r>
      <w:r>
        <w:rPr>
          <w:rFonts w:ascii="Open Sans" w:eastAsia="Open Sans" w:hAnsi="Open Sans" w:cs="Open Sans"/>
          <w:b/>
          <w:color w:val="333333"/>
          <w:sz w:val="20"/>
          <w:szCs w:val="20"/>
        </w:rPr>
        <w:t>may not make a claim against the security deposit</w:t>
      </w:r>
      <w:r>
        <w:rPr>
          <w:rFonts w:ascii="Open Sans" w:eastAsia="Open Sans" w:hAnsi="Open Sans" w:cs="Open Sans"/>
          <w:color w:val="333333"/>
          <w:sz w:val="20"/>
          <w:szCs w:val="20"/>
        </w:rPr>
        <w:t xml:space="preserve"> or any pet damage deposit, and</w:t>
      </w:r>
    </w:p>
    <w:p w14:paraId="00000054"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lastRenderedPageBreak/>
        <w:t xml:space="preserve">(b) </w:t>
      </w:r>
      <w:r>
        <w:rPr>
          <w:rFonts w:ascii="Open Sans" w:eastAsia="Open Sans" w:hAnsi="Open Sans" w:cs="Open Sans"/>
          <w:b/>
          <w:color w:val="333333"/>
          <w:sz w:val="20"/>
          <w:szCs w:val="20"/>
        </w:rPr>
        <w:t>must pay</w:t>
      </w:r>
      <w:r>
        <w:rPr>
          <w:rFonts w:ascii="Open Sans" w:eastAsia="Open Sans" w:hAnsi="Open Sans" w:cs="Open Sans"/>
          <w:color w:val="333333"/>
          <w:sz w:val="20"/>
          <w:szCs w:val="20"/>
        </w:rPr>
        <w:t xml:space="preserve"> </w:t>
      </w:r>
      <w:r>
        <w:rPr>
          <w:rFonts w:ascii="Open Sans" w:eastAsia="Open Sans" w:hAnsi="Open Sans" w:cs="Open Sans"/>
          <w:b/>
          <w:color w:val="333333"/>
          <w:sz w:val="20"/>
          <w:szCs w:val="20"/>
        </w:rPr>
        <w:t>the tenant double the amount of the security deposit</w:t>
      </w:r>
      <w:r>
        <w:rPr>
          <w:rFonts w:ascii="Open Sans" w:eastAsia="Open Sans" w:hAnsi="Open Sans" w:cs="Open Sans"/>
          <w:color w:val="333333"/>
          <w:sz w:val="20"/>
          <w:szCs w:val="20"/>
        </w:rPr>
        <w:t>, pet damage deposit,</w:t>
      </w:r>
      <w:r>
        <w:rPr>
          <w:rFonts w:ascii="Open Sans" w:eastAsia="Open Sans" w:hAnsi="Open Sans" w:cs="Open Sans"/>
          <w:color w:val="333333"/>
          <w:sz w:val="20"/>
          <w:szCs w:val="20"/>
        </w:rPr>
        <w:t xml:space="preserve"> or both, as applicable.</w:t>
      </w:r>
    </w:p>
    <w:p w14:paraId="00000056" w14:textId="1F75E565" w:rsidR="00A17DFD" w:rsidRPr="00784B73" w:rsidRDefault="00C817F3" w:rsidP="00784B73">
      <w:pPr>
        <w:pStyle w:val="Heading1"/>
        <w:keepNext w:val="0"/>
        <w:keepLines w:val="0"/>
        <w:spacing w:before="300" w:after="160" w:line="264" w:lineRule="auto"/>
        <w:rPr>
          <w:rFonts w:ascii="Open Sans" w:eastAsia="Open Sans" w:hAnsi="Open Sans" w:cs="Open Sans"/>
          <w:b w:val="0"/>
          <w:color w:val="333333"/>
          <w:sz w:val="20"/>
          <w:szCs w:val="20"/>
        </w:rPr>
      </w:pPr>
      <w:bookmarkStart w:id="5" w:name="_heading=h.z4cs1vd8pvxi" w:colFirst="0" w:colLast="0"/>
      <w:bookmarkEnd w:id="5"/>
      <w:r>
        <w:rPr>
          <w:rFonts w:ascii="Open Sans" w:eastAsia="Open Sans" w:hAnsi="Open Sans" w:cs="Open Sans"/>
          <w:color w:val="333333"/>
          <w:sz w:val="26"/>
          <w:szCs w:val="26"/>
        </w:rPr>
        <w:t>D) Analysis / Argument</w:t>
      </w:r>
    </w:p>
    <w:p w14:paraId="00000057" w14:textId="77777777" w:rsidR="00A17DFD" w:rsidRDefault="00C817F3">
      <w:pPr>
        <w:spacing w:after="160" w:line="276" w:lineRule="auto"/>
        <w:rPr>
          <w:rFonts w:ascii="Open Sans" w:eastAsia="Open Sans" w:hAnsi="Open Sans" w:cs="Open Sans"/>
          <w:i/>
          <w:color w:val="333333"/>
          <w:sz w:val="20"/>
          <w:szCs w:val="20"/>
          <w:u w:val="single"/>
        </w:rPr>
      </w:pPr>
      <w:r>
        <w:rPr>
          <w:rFonts w:ascii="Open Sans" w:eastAsia="Open Sans" w:hAnsi="Open Sans" w:cs="Open Sans"/>
          <w:i/>
          <w:color w:val="333333"/>
          <w:sz w:val="20"/>
          <w:szCs w:val="20"/>
          <w:u w:val="single"/>
        </w:rPr>
        <w:t>U</w:t>
      </w:r>
      <w:r>
        <w:rPr>
          <w:rFonts w:ascii="Open Sans" w:eastAsia="Open Sans" w:hAnsi="Open Sans" w:cs="Open Sans"/>
          <w:i/>
          <w:color w:val="333333"/>
          <w:sz w:val="20"/>
          <w:szCs w:val="20"/>
          <w:u w:val="single"/>
        </w:rPr>
        <w:t>nlawful request for liquidated damages</w:t>
      </w:r>
    </w:p>
    <w:p w14:paraId="00000058" w14:textId="77777777" w:rsidR="00A17DFD" w:rsidRDefault="00C817F3">
      <w:pPr>
        <w:spacing w:after="160" w:line="276" w:lineRule="auto"/>
        <w:rPr>
          <w:rFonts w:ascii="Open Sans" w:eastAsia="Open Sans" w:hAnsi="Open Sans" w:cs="Open Sans"/>
          <w:i/>
          <w:color w:val="333333"/>
          <w:sz w:val="20"/>
          <w:szCs w:val="20"/>
          <w:u w:val="single"/>
        </w:rPr>
      </w:pPr>
      <w:r>
        <w:rPr>
          <w:rFonts w:ascii="Open Sans" w:eastAsia="Open Sans" w:hAnsi="Open Sans" w:cs="Open Sans"/>
          <w:i/>
          <w:color w:val="333333"/>
          <w:sz w:val="20"/>
          <w:szCs w:val="20"/>
          <w:u w:val="single"/>
        </w:rPr>
        <w:t xml:space="preserve"> </w:t>
      </w:r>
    </w:p>
    <w:p w14:paraId="00000059" w14:textId="77777777" w:rsidR="00A17DFD" w:rsidRDefault="00C817F3">
      <w:pPr>
        <w:numPr>
          <w:ilvl w:val="0"/>
          <w:numId w:val="18"/>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In “RTB Decision Liquidated Damages”, the arbitrator found that a liquidated damages clause which consisted of a half-month’s rent was unenforceable, stating in part:</w:t>
      </w:r>
    </w:p>
    <w:p w14:paraId="0000005A"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5B"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I am not convinced that the amount… was a genuine pre-estimate of costs or lo</w:t>
      </w:r>
      <w:r>
        <w:rPr>
          <w:rFonts w:ascii="Open Sans" w:eastAsia="Open Sans" w:hAnsi="Open Sans" w:cs="Open Sans"/>
          <w:color w:val="333333"/>
          <w:sz w:val="20"/>
          <w:szCs w:val="20"/>
        </w:rPr>
        <w:t xml:space="preserve">ss. Rather, in this case… I find the clause acts as an automatic forfeiture of a tenant’s security deposit, which is not allowed under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w:t>
      </w:r>
    </w:p>
    <w:p w14:paraId="0000005C"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5D"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I also find that the landlord failed to submit convincing evidence that the liquidated damages were a genuine </w:t>
      </w:r>
      <w:r>
        <w:rPr>
          <w:rFonts w:ascii="Open Sans" w:eastAsia="Open Sans" w:hAnsi="Open Sans" w:cs="Open Sans"/>
          <w:color w:val="333333"/>
          <w:sz w:val="20"/>
          <w:szCs w:val="20"/>
        </w:rPr>
        <w:t xml:space="preserve">pre-estimate or were intended to compensate them for time and expense in re-renting the rental unit </w:t>
      </w:r>
      <w:proofErr w:type="gramStart"/>
      <w:r>
        <w:rPr>
          <w:rFonts w:ascii="Open Sans" w:eastAsia="Open Sans" w:hAnsi="Open Sans" w:cs="Open Sans"/>
          <w:color w:val="333333"/>
          <w:sz w:val="20"/>
          <w:szCs w:val="20"/>
        </w:rPr>
        <w:t>as a result of</w:t>
      </w:r>
      <w:proofErr w:type="gramEnd"/>
      <w:r>
        <w:rPr>
          <w:rFonts w:ascii="Open Sans" w:eastAsia="Open Sans" w:hAnsi="Open Sans" w:cs="Open Sans"/>
          <w:color w:val="333333"/>
          <w:sz w:val="20"/>
          <w:szCs w:val="20"/>
        </w:rPr>
        <w:t xml:space="preserve"> the early end to tenancy by the tenant.</w:t>
      </w:r>
    </w:p>
    <w:p w14:paraId="0000005E" w14:textId="77777777" w:rsidR="00A17DFD" w:rsidRDefault="00C817F3">
      <w:pP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Tab 4: RTB Decision Liquidated Damages, page 12</w:t>
      </w:r>
    </w:p>
    <w:p w14:paraId="0000005F"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60" w14:textId="77777777" w:rsidR="00A17DFD" w:rsidRDefault="00C817F3">
      <w:pPr>
        <w:pStyle w:val="Heading2"/>
        <w:keepNext w:val="0"/>
        <w:keepLines w:val="0"/>
        <w:spacing w:before="300" w:after="160" w:line="264" w:lineRule="auto"/>
        <w:rPr>
          <w:rFonts w:ascii="Open Sans" w:eastAsia="Open Sans" w:hAnsi="Open Sans" w:cs="Open Sans"/>
          <w:b w:val="0"/>
          <w:color w:val="333333"/>
          <w:sz w:val="20"/>
          <w:szCs w:val="20"/>
          <w:u w:val="single"/>
        </w:rPr>
      </w:pPr>
      <w:bookmarkStart w:id="6" w:name="_heading=h.2tztne6isbbi" w:colFirst="0" w:colLast="0"/>
      <w:bookmarkEnd w:id="6"/>
      <w:r>
        <w:rPr>
          <w:rFonts w:ascii="Open Sans" w:eastAsia="Open Sans" w:hAnsi="Open Sans" w:cs="Open Sans"/>
          <w:b w:val="0"/>
          <w:color w:val="333333"/>
          <w:sz w:val="20"/>
          <w:szCs w:val="20"/>
          <w:u w:val="single"/>
        </w:rPr>
        <w:t>Unlawful request for cleaning costs</w:t>
      </w:r>
    </w:p>
    <w:p w14:paraId="00000061"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62" w14:textId="77777777" w:rsidR="00A17DFD" w:rsidRDefault="00C817F3">
      <w:pPr>
        <w:numPr>
          <w:ilvl w:val="0"/>
          <w:numId w:val="12"/>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The Landlord acknowledged in the move-out Condition Inspection Report that a small dent in the wall was repaired as agreed, and that no deductions were to be made from the security deposit, as the unit was in satisfactory condition.</w:t>
      </w:r>
    </w:p>
    <w:p w14:paraId="00000063" w14:textId="77777777" w:rsidR="00A17DFD" w:rsidRDefault="00C817F3">
      <w:pPr>
        <w:spacing w:after="160" w:line="276" w:lineRule="auto"/>
        <w:jc w:val="right"/>
        <w:rPr>
          <w:rFonts w:ascii="Open Sans" w:eastAsia="Open Sans" w:hAnsi="Open Sans" w:cs="Open Sans"/>
          <w:i/>
          <w:color w:val="333333"/>
          <w:sz w:val="20"/>
          <w:szCs w:val="20"/>
        </w:rPr>
      </w:pPr>
      <w:r>
        <w:rPr>
          <w:rFonts w:ascii="Open Sans" w:eastAsia="Open Sans" w:hAnsi="Open Sans" w:cs="Open Sans"/>
          <w:i/>
          <w:color w:val="333333"/>
          <w:sz w:val="20"/>
          <w:szCs w:val="20"/>
        </w:rPr>
        <w:t>Landlord’s Evidence, Co</w:t>
      </w:r>
      <w:r>
        <w:rPr>
          <w:rFonts w:ascii="Open Sans" w:eastAsia="Open Sans" w:hAnsi="Open Sans" w:cs="Open Sans"/>
          <w:i/>
          <w:color w:val="333333"/>
          <w:sz w:val="20"/>
          <w:szCs w:val="20"/>
        </w:rPr>
        <w:t>ndition Inspection Report, pages 1-3</w:t>
      </w:r>
    </w:p>
    <w:p w14:paraId="00000064" w14:textId="77777777" w:rsidR="00A17DFD" w:rsidRDefault="00C817F3">
      <w:pPr>
        <w:spacing w:after="160" w:line="276" w:lineRule="auto"/>
        <w:rPr>
          <w:rFonts w:ascii="Open Sans" w:eastAsia="Open Sans" w:hAnsi="Open Sans" w:cs="Open Sans"/>
          <w:i/>
          <w:color w:val="333333"/>
          <w:sz w:val="20"/>
          <w:szCs w:val="20"/>
        </w:rPr>
      </w:pPr>
      <w:r>
        <w:rPr>
          <w:rFonts w:ascii="Open Sans" w:eastAsia="Open Sans" w:hAnsi="Open Sans" w:cs="Open Sans"/>
          <w:i/>
          <w:color w:val="333333"/>
          <w:sz w:val="20"/>
          <w:szCs w:val="20"/>
        </w:rPr>
        <w:t xml:space="preserve"> </w:t>
      </w:r>
    </w:p>
    <w:p w14:paraId="00000065" w14:textId="77777777" w:rsidR="00A17DFD" w:rsidRDefault="00C817F3">
      <w:pPr>
        <w:spacing w:after="160" w:line="276" w:lineRule="auto"/>
        <w:rPr>
          <w:rFonts w:ascii="Open Sans" w:eastAsia="Open Sans" w:hAnsi="Open Sans" w:cs="Open Sans"/>
          <w:i/>
          <w:color w:val="333333"/>
          <w:sz w:val="20"/>
          <w:szCs w:val="20"/>
          <w:u w:val="single"/>
        </w:rPr>
      </w:pPr>
      <w:r>
        <w:rPr>
          <w:rFonts w:ascii="Open Sans" w:eastAsia="Open Sans" w:hAnsi="Open Sans" w:cs="Open Sans"/>
          <w:i/>
          <w:color w:val="333333"/>
          <w:sz w:val="20"/>
          <w:szCs w:val="20"/>
          <w:u w:val="single"/>
        </w:rPr>
        <w:t>Unlawful retention of security deposit</w:t>
      </w:r>
    </w:p>
    <w:p w14:paraId="00000066"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67" w14:textId="77777777" w:rsidR="00A17DFD" w:rsidRDefault="00C817F3">
      <w:pPr>
        <w:numPr>
          <w:ilvl w:val="0"/>
          <w:numId w:val="25"/>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The Landlord and Tenant completed a Condition Inspection Report on move in and on move out. The Landlord had the Tenant’s forwarding address in writing, and he did not have per</w:t>
      </w:r>
      <w:r>
        <w:rPr>
          <w:rFonts w:ascii="Open Sans" w:eastAsia="Open Sans" w:hAnsi="Open Sans" w:cs="Open Sans"/>
          <w:color w:val="333333"/>
          <w:sz w:val="20"/>
          <w:szCs w:val="20"/>
        </w:rPr>
        <w:t xml:space="preserve">mission to retain any part of the security deposit. The final report, signed by both parties </w:t>
      </w:r>
      <w:r>
        <w:rPr>
          <w:rFonts w:ascii="Open Sans" w:eastAsia="Open Sans" w:hAnsi="Open Sans" w:cs="Open Sans"/>
          <w:color w:val="333333"/>
          <w:sz w:val="20"/>
          <w:szCs w:val="20"/>
        </w:rPr>
        <w:lastRenderedPageBreak/>
        <w:t>on the last day of the tenancy, indicates no outstanding concerns. The Landlord has no claim against the deposit.</w:t>
      </w:r>
    </w:p>
    <w:p w14:paraId="00000068"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69" w14:textId="77777777" w:rsidR="00A17DFD" w:rsidRDefault="00C817F3">
      <w:pPr>
        <w:numPr>
          <w:ilvl w:val="0"/>
          <w:numId w:val="5"/>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 xml:space="preserve">Since the Landlord did not return the deposit or file to retain it within 15 days of receiving the Tenant’s forwarding address in writing, the Landlord may not make a claim against the </w:t>
      </w:r>
      <w:proofErr w:type="gramStart"/>
      <w:r>
        <w:rPr>
          <w:rFonts w:ascii="Open Sans" w:eastAsia="Open Sans" w:hAnsi="Open Sans" w:cs="Open Sans"/>
          <w:color w:val="333333"/>
          <w:sz w:val="20"/>
          <w:szCs w:val="20"/>
        </w:rPr>
        <w:t>deposit, and</w:t>
      </w:r>
      <w:proofErr w:type="gramEnd"/>
      <w:r>
        <w:rPr>
          <w:rFonts w:ascii="Open Sans" w:eastAsia="Open Sans" w:hAnsi="Open Sans" w:cs="Open Sans"/>
          <w:color w:val="333333"/>
          <w:sz w:val="20"/>
          <w:szCs w:val="20"/>
        </w:rPr>
        <w:t xml:space="preserve"> must repay the tenant double the deposit.</w:t>
      </w:r>
    </w:p>
    <w:p w14:paraId="0000006B" w14:textId="08EE04FF" w:rsidR="00A17DFD" w:rsidRPr="00784B73" w:rsidRDefault="00C817F3" w:rsidP="00784B73">
      <w:pPr>
        <w:pStyle w:val="Heading1"/>
        <w:keepNext w:val="0"/>
        <w:keepLines w:val="0"/>
        <w:spacing w:before="300" w:after="160" w:line="264" w:lineRule="auto"/>
        <w:rPr>
          <w:rFonts w:ascii="Open Sans" w:eastAsia="Open Sans" w:hAnsi="Open Sans" w:cs="Open Sans"/>
          <w:b w:val="0"/>
          <w:color w:val="333333"/>
          <w:sz w:val="20"/>
          <w:szCs w:val="20"/>
        </w:rPr>
      </w:pPr>
      <w:bookmarkStart w:id="7" w:name="_heading=h.6rtm5ashn31u" w:colFirst="0" w:colLast="0"/>
      <w:bookmarkEnd w:id="7"/>
      <w:r>
        <w:rPr>
          <w:rFonts w:ascii="Open Sans" w:eastAsia="Open Sans" w:hAnsi="Open Sans" w:cs="Open Sans"/>
          <w:color w:val="333333"/>
          <w:sz w:val="26"/>
          <w:szCs w:val="26"/>
        </w:rPr>
        <w:t>E) Conclusion</w:t>
      </w:r>
    </w:p>
    <w:p w14:paraId="0000006C" w14:textId="77777777" w:rsidR="00A17DFD" w:rsidRDefault="00C817F3">
      <w:pPr>
        <w:numPr>
          <w:ilvl w:val="0"/>
          <w:numId w:val="14"/>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w:t>
      </w:r>
      <w:r>
        <w:rPr>
          <w:rFonts w:ascii="Open Sans" w:eastAsia="Open Sans" w:hAnsi="Open Sans" w:cs="Open Sans"/>
          <w:color w:val="333333"/>
          <w:sz w:val="20"/>
          <w:szCs w:val="20"/>
        </w:rPr>
        <w:t>he Landlord has provided no evidence that the liquidated damages clause is a genuine pre-estimate of loss. Further, the money claimed for cleaning costs cannot be substantiated, as the Condition Inspection Report agreed to and signed by both parties indi</w:t>
      </w:r>
      <w:r>
        <w:rPr>
          <w:rFonts w:ascii="Open Sans" w:eastAsia="Open Sans" w:hAnsi="Open Sans" w:cs="Open Sans"/>
          <w:color w:val="333333"/>
          <w:sz w:val="20"/>
          <w:szCs w:val="20"/>
        </w:rPr>
        <w:t>cates the Unit was in satisfactory condition.</w:t>
      </w:r>
    </w:p>
    <w:p w14:paraId="0000006D"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6E" w14:textId="77777777" w:rsidR="00A17DFD" w:rsidRDefault="00C817F3">
      <w:pPr>
        <w:numPr>
          <w:ilvl w:val="0"/>
          <w:numId w:val="8"/>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The Landlord’s attempt to avoid the Act by requiring the automatic forfeiture of the Tenant’s security deposit is of no effect.</w:t>
      </w:r>
    </w:p>
    <w:p w14:paraId="0000006F"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70" w14:textId="77777777" w:rsidR="00A17DFD" w:rsidRDefault="00C817F3">
      <w:pPr>
        <w:numPr>
          <w:ilvl w:val="0"/>
          <w:numId w:val="24"/>
        </w:numPr>
        <w:spacing w:after="160" w:line="276" w:lineRule="auto"/>
        <w:rPr>
          <w:rFonts w:ascii="Open Sans" w:eastAsia="Open Sans" w:hAnsi="Open Sans" w:cs="Open Sans"/>
          <w:sz w:val="20"/>
          <w:szCs w:val="20"/>
        </w:rPr>
      </w:pPr>
      <w:r>
        <w:rPr>
          <w:rFonts w:ascii="Open Sans" w:eastAsia="Open Sans" w:hAnsi="Open Sans" w:cs="Open Sans"/>
          <w:color w:val="333333"/>
          <w:sz w:val="20"/>
          <w:szCs w:val="20"/>
        </w:rPr>
        <w:t>The Tenant dutifully cleaned the Unit to a reasonable standard on move out and</w:t>
      </w:r>
      <w:r>
        <w:rPr>
          <w:rFonts w:ascii="Open Sans" w:eastAsia="Open Sans" w:hAnsi="Open Sans" w:cs="Open Sans"/>
          <w:color w:val="333333"/>
          <w:sz w:val="20"/>
          <w:szCs w:val="20"/>
        </w:rPr>
        <w:t xml:space="preserve"> complied with the requirement to complete the Condition Inspection Report. The Tenant promptly provided her forwarding address in writing, and the landlord failed to return the deposit or file to retain it within the 15-day deadline established in Section</w:t>
      </w:r>
      <w:r>
        <w:rPr>
          <w:rFonts w:ascii="Open Sans" w:eastAsia="Open Sans" w:hAnsi="Open Sans" w:cs="Open Sans"/>
          <w:color w:val="333333"/>
          <w:sz w:val="20"/>
          <w:szCs w:val="20"/>
        </w:rPr>
        <w:t xml:space="preserve"> 38 of the </w:t>
      </w:r>
      <w:r>
        <w:rPr>
          <w:rFonts w:ascii="Open Sans" w:eastAsia="Open Sans" w:hAnsi="Open Sans" w:cs="Open Sans"/>
          <w:i/>
          <w:color w:val="333333"/>
          <w:sz w:val="20"/>
          <w:szCs w:val="20"/>
        </w:rPr>
        <w:t>Act</w:t>
      </w:r>
      <w:r>
        <w:rPr>
          <w:rFonts w:ascii="Open Sans" w:eastAsia="Open Sans" w:hAnsi="Open Sans" w:cs="Open Sans"/>
          <w:color w:val="333333"/>
          <w:sz w:val="20"/>
          <w:szCs w:val="20"/>
        </w:rPr>
        <w:t xml:space="preserve">. As such, the Landlord’s claim must be </w:t>
      </w:r>
      <w:proofErr w:type="gramStart"/>
      <w:r>
        <w:rPr>
          <w:rFonts w:ascii="Open Sans" w:eastAsia="Open Sans" w:hAnsi="Open Sans" w:cs="Open Sans"/>
          <w:color w:val="333333"/>
          <w:sz w:val="20"/>
          <w:szCs w:val="20"/>
        </w:rPr>
        <w:t>dismissed</w:t>
      </w:r>
      <w:proofErr w:type="gramEnd"/>
      <w:r>
        <w:rPr>
          <w:rFonts w:ascii="Open Sans" w:eastAsia="Open Sans" w:hAnsi="Open Sans" w:cs="Open Sans"/>
          <w:color w:val="333333"/>
          <w:sz w:val="20"/>
          <w:szCs w:val="20"/>
        </w:rPr>
        <w:t xml:space="preserve"> and the Tenant’s counterclaim upheld.</w:t>
      </w:r>
    </w:p>
    <w:p w14:paraId="00000071" w14:textId="76E1F67B" w:rsidR="00A17DFD" w:rsidRDefault="00A17DFD">
      <w:pPr>
        <w:spacing w:after="160" w:line="276" w:lineRule="auto"/>
        <w:rPr>
          <w:rFonts w:ascii="Open Sans" w:eastAsia="Open Sans" w:hAnsi="Open Sans" w:cs="Open Sans"/>
          <w:color w:val="333333"/>
          <w:sz w:val="20"/>
          <w:szCs w:val="20"/>
        </w:rPr>
      </w:pPr>
    </w:p>
    <w:p w14:paraId="00000073" w14:textId="0B69DA22" w:rsidR="00A17DFD" w:rsidRPr="00784B73"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All of which is respectfully submitted, [MM/DD/YYYY].</w:t>
      </w:r>
    </w:p>
    <w:p w14:paraId="00000074"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 xml:space="preserve"> </w:t>
      </w:r>
    </w:p>
    <w:p w14:paraId="00000076" w14:textId="407CF039"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______________________________</w:t>
      </w:r>
    </w:p>
    <w:p w14:paraId="00000078" w14:textId="7CE1E709"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[Tenant’s Name]</w:t>
      </w:r>
    </w:p>
    <w:p w14:paraId="0000007A" w14:textId="7EC3E9CF"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or</w:t>
      </w:r>
    </w:p>
    <w:p w14:paraId="0000007B" w14:textId="77777777" w:rsidR="00A17DFD" w:rsidRDefault="00C817F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[Advocate’s Name],</w:t>
      </w:r>
    </w:p>
    <w:p w14:paraId="0000007E" w14:textId="3CEDA47C" w:rsidR="00A17DFD" w:rsidRPr="00784B73" w:rsidRDefault="00C817F3" w:rsidP="00784B73">
      <w:pPr>
        <w:spacing w:after="160" w:line="276" w:lineRule="auto"/>
        <w:rPr>
          <w:rFonts w:ascii="Open Sans" w:eastAsia="Open Sans" w:hAnsi="Open Sans" w:cs="Open Sans"/>
          <w:color w:val="333333"/>
          <w:sz w:val="20"/>
          <w:szCs w:val="20"/>
        </w:rPr>
      </w:pPr>
      <w:r>
        <w:rPr>
          <w:rFonts w:ascii="Open Sans" w:eastAsia="Open Sans" w:hAnsi="Open Sans" w:cs="Open Sans"/>
          <w:color w:val="333333"/>
          <w:sz w:val="20"/>
          <w:szCs w:val="20"/>
        </w:rPr>
        <w:t>Advocate for the Te</w:t>
      </w:r>
      <w:r>
        <w:rPr>
          <w:rFonts w:ascii="Open Sans" w:eastAsia="Open Sans" w:hAnsi="Open Sans" w:cs="Open Sans"/>
          <w:color w:val="333333"/>
          <w:sz w:val="20"/>
          <w:szCs w:val="20"/>
        </w:rPr>
        <w:t>nant</w:t>
      </w:r>
    </w:p>
    <w:sectPr w:rsidR="00A17DFD" w:rsidRPr="00784B73">
      <w:headerReference w:type="default" r:id="rId8"/>
      <w:footerReference w:type="even" r:id="rId9"/>
      <w:footerReference w:type="default" r:id="rId10"/>
      <w:pgSz w:w="12240" w:h="15840"/>
      <w:pgMar w:top="183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0D0AA" w14:textId="77777777" w:rsidR="00C817F3" w:rsidRDefault="00C817F3">
      <w:r>
        <w:separator/>
      </w:r>
    </w:p>
  </w:endnote>
  <w:endnote w:type="continuationSeparator" w:id="0">
    <w:p w14:paraId="72DADF4A" w14:textId="77777777" w:rsidR="00C817F3" w:rsidRDefault="00C8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7777777" w:rsidR="00A17DFD" w:rsidRDefault="00C817F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82" w14:textId="77777777" w:rsidR="00A17DFD" w:rsidRDefault="00A17DF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A17DFD" w:rsidRDefault="00A17DFD">
    <w:pPr>
      <w:pBdr>
        <w:top w:val="nil"/>
        <w:left w:val="nil"/>
        <w:bottom w:val="nil"/>
        <w:right w:val="nil"/>
        <w:between w:val="nil"/>
      </w:pBdr>
      <w:tabs>
        <w:tab w:val="center" w:pos="4680"/>
        <w:tab w:val="right" w:pos="9360"/>
      </w:tabs>
      <w:ind w:left="-1440"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A1924" w14:textId="77777777" w:rsidR="00C817F3" w:rsidRDefault="00C817F3">
      <w:r>
        <w:separator/>
      </w:r>
    </w:p>
  </w:footnote>
  <w:footnote w:type="continuationSeparator" w:id="0">
    <w:p w14:paraId="0AFAC25C" w14:textId="77777777" w:rsidR="00C817F3" w:rsidRDefault="00C8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A17DFD" w:rsidRDefault="00A17DFD">
    <w:pPr>
      <w:pBdr>
        <w:top w:val="nil"/>
        <w:left w:val="nil"/>
        <w:bottom w:val="nil"/>
        <w:right w:val="nil"/>
        <w:between w:val="nil"/>
      </w:pBdr>
      <w:tabs>
        <w:tab w:val="center" w:pos="4680"/>
        <w:tab w:val="right" w:pos="9360"/>
      </w:tabs>
      <w:ind w:left="-14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E19"/>
    <w:multiLevelType w:val="multilevel"/>
    <w:tmpl w:val="3DAE9CD2"/>
    <w:lvl w:ilvl="0">
      <w:start w:val="14"/>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653A81"/>
    <w:multiLevelType w:val="multilevel"/>
    <w:tmpl w:val="7204A13C"/>
    <w:lvl w:ilvl="0">
      <w:start w:val="24"/>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762B3C"/>
    <w:multiLevelType w:val="multilevel"/>
    <w:tmpl w:val="CB8663E0"/>
    <w:lvl w:ilvl="0">
      <w:start w:val="15"/>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53305E3"/>
    <w:multiLevelType w:val="multilevel"/>
    <w:tmpl w:val="2C028DC8"/>
    <w:lvl w:ilvl="0">
      <w:start w:val="2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55D3F47"/>
    <w:multiLevelType w:val="multilevel"/>
    <w:tmpl w:val="A29A59AC"/>
    <w:lvl w:ilvl="0">
      <w:start w:val="12"/>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E1394F"/>
    <w:multiLevelType w:val="multilevel"/>
    <w:tmpl w:val="BB880730"/>
    <w:lvl w:ilvl="0">
      <w:start w:val="27"/>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8F478F4"/>
    <w:multiLevelType w:val="multilevel"/>
    <w:tmpl w:val="FA5AE936"/>
    <w:lvl w:ilvl="0">
      <w:start w:val="4"/>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B720B48"/>
    <w:multiLevelType w:val="multilevel"/>
    <w:tmpl w:val="EB1C5302"/>
    <w:lvl w:ilvl="0">
      <w:start w:val="6"/>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E6610F"/>
    <w:multiLevelType w:val="multilevel"/>
    <w:tmpl w:val="B2C8149A"/>
    <w:lvl w:ilvl="0">
      <w:start w:val="18"/>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2E20133"/>
    <w:multiLevelType w:val="multilevel"/>
    <w:tmpl w:val="6A4E966C"/>
    <w:lvl w:ilvl="0">
      <w:start w:val="9"/>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4C01C8E"/>
    <w:multiLevelType w:val="multilevel"/>
    <w:tmpl w:val="5D7844AE"/>
    <w:lvl w:ilvl="0">
      <w:start w:val="22"/>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A391675"/>
    <w:multiLevelType w:val="multilevel"/>
    <w:tmpl w:val="75BC0F82"/>
    <w:lvl w:ilvl="0">
      <w:start w:val="28"/>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0433873"/>
    <w:multiLevelType w:val="multilevel"/>
    <w:tmpl w:val="BBF42D4E"/>
    <w:lvl w:ilvl="0">
      <w:start w:val="7"/>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17875E4"/>
    <w:multiLevelType w:val="multilevel"/>
    <w:tmpl w:val="FFFA9D56"/>
    <w:lvl w:ilvl="0">
      <w:start w:val="26"/>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80A231F"/>
    <w:multiLevelType w:val="multilevel"/>
    <w:tmpl w:val="33E2E510"/>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B93347"/>
    <w:multiLevelType w:val="multilevel"/>
    <w:tmpl w:val="B6349C9A"/>
    <w:lvl w:ilvl="0">
      <w:start w:val="1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1F01AF6"/>
    <w:multiLevelType w:val="multilevel"/>
    <w:tmpl w:val="1B48E388"/>
    <w:lvl w:ilvl="0">
      <w:start w:val="23"/>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7B50A4C"/>
    <w:multiLevelType w:val="multilevel"/>
    <w:tmpl w:val="4B661B10"/>
    <w:lvl w:ilvl="0">
      <w:start w:val="8"/>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C045F4A"/>
    <w:multiLevelType w:val="multilevel"/>
    <w:tmpl w:val="D272FC1E"/>
    <w:lvl w:ilvl="0">
      <w:start w:val="25"/>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E2A3B91"/>
    <w:multiLevelType w:val="multilevel"/>
    <w:tmpl w:val="B0FC36EA"/>
    <w:lvl w:ilvl="0">
      <w:start w:val="13"/>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EFF3865"/>
    <w:multiLevelType w:val="multilevel"/>
    <w:tmpl w:val="4D588490"/>
    <w:lvl w:ilvl="0">
      <w:start w:val="10"/>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6133391C"/>
    <w:multiLevelType w:val="multilevel"/>
    <w:tmpl w:val="32ECD460"/>
    <w:lvl w:ilvl="0">
      <w:start w:val="1"/>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635871C7"/>
    <w:multiLevelType w:val="multilevel"/>
    <w:tmpl w:val="3EA6ED5C"/>
    <w:lvl w:ilvl="0">
      <w:start w:val="19"/>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72323F5F"/>
    <w:multiLevelType w:val="multilevel"/>
    <w:tmpl w:val="DA9A027C"/>
    <w:lvl w:ilvl="0">
      <w:start w:val="16"/>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7B8C6BA9"/>
    <w:multiLevelType w:val="multilevel"/>
    <w:tmpl w:val="F3409ABE"/>
    <w:lvl w:ilvl="0">
      <w:start w:val="17"/>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7CE53E88"/>
    <w:multiLevelType w:val="multilevel"/>
    <w:tmpl w:val="54FEF0E2"/>
    <w:lvl w:ilvl="0">
      <w:start w:val="3"/>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E961699"/>
    <w:multiLevelType w:val="multilevel"/>
    <w:tmpl w:val="53B840FC"/>
    <w:lvl w:ilvl="0">
      <w:start w:val="5"/>
      <w:numFmt w:val="decimal"/>
      <w:lvlText w:val="%1."/>
      <w:lvlJc w:val="left"/>
      <w:pPr>
        <w:ind w:left="720" w:hanging="360"/>
      </w:pPr>
      <w:rPr>
        <w:rFonts w:ascii="Arial" w:eastAsia="Arial" w:hAnsi="Arial" w:cs="Arial"/>
        <w:color w:val="33333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643729033">
    <w:abstractNumId w:val="19"/>
  </w:num>
  <w:num w:numId="2" w16cid:durableId="765004086">
    <w:abstractNumId w:val="26"/>
  </w:num>
  <w:num w:numId="3" w16cid:durableId="1790973643">
    <w:abstractNumId w:val="2"/>
  </w:num>
  <w:num w:numId="4" w16cid:durableId="1900048545">
    <w:abstractNumId w:val="8"/>
  </w:num>
  <w:num w:numId="5" w16cid:durableId="130708341">
    <w:abstractNumId w:val="18"/>
  </w:num>
  <w:num w:numId="6" w16cid:durableId="235671386">
    <w:abstractNumId w:val="3"/>
  </w:num>
  <w:num w:numId="7" w16cid:durableId="1514614282">
    <w:abstractNumId w:val="4"/>
  </w:num>
  <w:num w:numId="8" w16cid:durableId="1331178190">
    <w:abstractNumId w:val="5"/>
  </w:num>
  <w:num w:numId="9" w16cid:durableId="1839803888">
    <w:abstractNumId w:val="23"/>
  </w:num>
  <w:num w:numId="10" w16cid:durableId="472253832">
    <w:abstractNumId w:val="17"/>
  </w:num>
  <w:num w:numId="11" w16cid:durableId="1018041870">
    <w:abstractNumId w:val="24"/>
  </w:num>
  <w:num w:numId="12" w16cid:durableId="435756102">
    <w:abstractNumId w:val="16"/>
  </w:num>
  <w:num w:numId="13" w16cid:durableId="182205030">
    <w:abstractNumId w:val="21"/>
  </w:num>
  <w:num w:numId="14" w16cid:durableId="1631980401">
    <w:abstractNumId w:val="13"/>
  </w:num>
  <w:num w:numId="15" w16cid:durableId="501317143">
    <w:abstractNumId w:val="15"/>
  </w:num>
  <w:num w:numId="16" w16cid:durableId="1178420748">
    <w:abstractNumId w:val="6"/>
  </w:num>
  <w:num w:numId="17" w16cid:durableId="674066880">
    <w:abstractNumId w:val="14"/>
  </w:num>
  <w:num w:numId="18" w16cid:durableId="1398669572">
    <w:abstractNumId w:val="10"/>
  </w:num>
  <w:num w:numId="19" w16cid:durableId="1148015270">
    <w:abstractNumId w:val="0"/>
  </w:num>
  <w:num w:numId="20" w16cid:durableId="845053823">
    <w:abstractNumId w:val="7"/>
  </w:num>
  <w:num w:numId="21" w16cid:durableId="673455648">
    <w:abstractNumId w:val="22"/>
  </w:num>
  <w:num w:numId="22" w16cid:durableId="1769421886">
    <w:abstractNumId w:val="25"/>
  </w:num>
  <w:num w:numId="23" w16cid:durableId="1629316135">
    <w:abstractNumId w:val="20"/>
  </w:num>
  <w:num w:numId="24" w16cid:durableId="72512898">
    <w:abstractNumId w:val="11"/>
  </w:num>
  <w:num w:numId="25" w16cid:durableId="1301305182">
    <w:abstractNumId w:val="1"/>
  </w:num>
  <w:num w:numId="26" w16cid:durableId="2112509393">
    <w:abstractNumId w:val="12"/>
  </w:num>
  <w:num w:numId="27" w16cid:durableId="470556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DFD"/>
    <w:rsid w:val="00784B73"/>
    <w:rsid w:val="00A17DFD"/>
    <w:rsid w:val="00C817F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131D57D"/>
  <w15:docId w15:val="{ACFAF9E0-5D65-4B49-A994-FAFCD755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7B"/>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D2A7B"/>
    <w:pPr>
      <w:ind w:left="720"/>
      <w:contextualSpacing/>
    </w:pPr>
  </w:style>
  <w:style w:type="character" w:styleId="Hyperlink">
    <w:name w:val="Hyperlink"/>
    <w:uiPriority w:val="99"/>
    <w:rsid w:val="00135050"/>
    <w:rPr>
      <w:rFonts w:cs="Times New Roman"/>
      <w:color w:val="BC5FBC"/>
      <w:u w:val="single"/>
    </w:rPr>
  </w:style>
  <w:style w:type="paragraph" w:styleId="Header">
    <w:name w:val="header"/>
    <w:basedOn w:val="Normal"/>
    <w:link w:val="HeaderChar"/>
    <w:uiPriority w:val="99"/>
    <w:unhideWhenUsed/>
    <w:rsid w:val="003C4769"/>
    <w:pPr>
      <w:tabs>
        <w:tab w:val="center" w:pos="4680"/>
        <w:tab w:val="right" w:pos="9360"/>
      </w:tabs>
    </w:pPr>
  </w:style>
  <w:style w:type="character" w:customStyle="1" w:styleId="HeaderChar">
    <w:name w:val="Header Char"/>
    <w:basedOn w:val="DefaultParagraphFont"/>
    <w:link w:val="Header"/>
    <w:uiPriority w:val="99"/>
    <w:rsid w:val="003C476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C4769"/>
    <w:pPr>
      <w:tabs>
        <w:tab w:val="center" w:pos="4680"/>
        <w:tab w:val="right" w:pos="9360"/>
      </w:tabs>
    </w:pPr>
  </w:style>
  <w:style w:type="character" w:customStyle="1" w:styleId="FooterChar">
    <w:name w:val="Footer Char"/>
    <w:basedOn w:val="DefaultParagraphFont"/>
    <w:link w:val="Footer"/>
    <w:uiPriority w:val="99"/>
    <w:rsid w:val="003C4769"/>
    <w:rPr>
      <w:rFonts w:ascii="Times New Roman" w:eastAsia="Times New Roman" w:hAnsi="Times New Roman"/>
      <w:sz w:val="24"/>
      <w:szCs w:val="24"/>
      <w:lang w:val="en-US" w:eastAsia="en-US"/>
    </w:rPr>
  </w:style>
  <w:style w:type="character" w:styleId="PageNumber">
    <w:name w:val="page number"/>
    <w:basedOn w:val="DefaultParagraphFont"/>
    <w:uiPriority w:val="99"/>
    <w:semiHidden/>
    <w:unhideWhenUsed/>
    <w:rsid w:val="003C4769"/>
  </w:style>
  <w:style w:type="paragraph" w:styleId="NormalWeb">
    <w:name w:val="Normal (Web)"/>
    <w:basedOn w:val="Normal"/>
    <w:uiPriority w:val="99"/>
    <w:semiHidden/>
    <w:unhideWhenUsed/>
    <w:rsid w:val="003C4769"/>
    <w:pPr>
      <w:spacing w:before="100" w:beforeAutospacing="1" w:after="100" w:afterAutospacing="1"/>
    </w:pPr>
    <w:rPr>
      <w:lang w:val="en-CA" w:eastAsia="ja-JP"/>
    </w:rPr>
  </w:style>
  <w:style w:type="character" w:styleId="Strong">
    <w:name w:val="Strong"/>
    <w:basedOn w:val="DefaultParagraphFont"/>
    <w:uiPriority w:val="22"/>
    <w:qFormat/>
    <w:rsid w:val="003C4769"/>
    <w:rPr>
      <w:b/>
      <w:bCs/>
    </w:rPr>
  </w:style>
  <w:style w:type="character" w:styleId="Emphasis">
    <w:name w:val="Emphasis"/>
    <w:basedOn w:val="DefaultParagraphFont"/>
    <w:uiPriority w:val="20"/>
    <w:qFormat/>
    <w:rsid w:val="003C4769"/>
    <w:rPr>
      <w:i/>
      <w:iCs/>
    </w:rPr>
  </w:style>
  <w:style w:type="paragraph" w:customStyle="1" w:styleId="rteindent1">
    <w:name w:val="rteindent1"/>
    <w:basedOn w:val="Normal"/>
    <w:rsid w:val="003C4769"/>
    <w:pPr>
      <w:spacing w:before="100" w:beforeAutospacing="1" w:after="100" w:afterAutospacing="1"/>
    </w:pPr>
    <w:rPr>
      <w:lang w:val="en-CA" w:eastAsia="ja-JP"/>
    </w:rPr>
  </w:style>
  <w:style w:type="paragraph" w:styleId="NoSpacing">
    <w:name w:val="No Spacing"/>
    <w:uiPriority w:val="1"/>
    <w:qFormat/>
    <w:rsid w:val="003C4769"/>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Iw0L00qb93jir7hU90jmoEuN9g==">AMUW2mX3VO74dmU1KFa8PUbKt+4t31sPmAeF/fpaAF8j8rKPPGlPua9gYQjYMYkXPGsO9UBENDiIwsCrUZfspN+k7HbeTJX4U+ESbByOQ3pFDneGOcPnAzYmVtEE5teKbzz8x9me939kLWyrpWB6Fym3J8HG0kwc8AbGGCE4hJmeSLBueDSkbFTtxPoI6katMJKvPqV4Ueh1iKkFQVYDFEnPi0pg0d/8tg0X/UvUYCIsL3DNVLwVv3H29sX9UcpTYyI3ET57YOAPDBxigEGGRu0QbJYRlD3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Sakamoto</dc:creator>
  <cp:lastModifiedBy>Vanessa Myho</cp:lastModifiedBy>
  <cp:revision>2</cp:revision>
  <dcterms:created xsi:type="dcterms:W3CDTF">2021-06-23T19:12:00Z</dcterms:created>
  <dcterms:modified xsi:type="dcterms:W3CDTF">2022-03-30T18:53:00Z</dcterms:modified>
</cp:coreProperties>
</file>