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C5E3" w14:textId="77777777" w:rsidR="00CE608D" w:rsidRDefault="00CA05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320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       File No:</w:t>
      </w:r>
    </w:p>
    <w:p w14:paraId="63974784" w14:textId="77777777" w:rsidR="00CE608D" w:rsidRDefault="00CA05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320"/>
        <w:rPr>
          <w:rFonts w:ascii="Open Sans" w:eastAsia="Open Sans" w:hAnsi="Open Sans" w:cs="Open Sans"/>
          <w:b/>
          <w:color w:val="23389A"/>
          <w:sz w:val="36"/>
          <w:szCs w:val="36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       Date of </w:t>
      </w:r>
      <w:proofErr w:type="gramStart"/>
      <w:r>
        <w:rPr>
          <w:rFonts w:ascii="Open Sans" w:eastAsia="Open Sans" w:hAnsi="Open Sans" w:cs="Open Sans"/>
          <w:b/>
          <w:sz w:val="20"/>
          <w:szCs w:val="20"/>
        </w:rPr>
        <w:t>Hearing:[</w:t>
      </w:r>
      <w:proofErr w:type="gramEnd"/>
      <w:r>
        <w:rPr>
          <w:rFonts w:ascii="Open Sans" w:eastAsia="Open Sans" w:hAnsi="Open Sans" w:cs="Open Sans"/>
          <w:b/>
          <w:sz w:val="20"/>
          <w:szCs w:val="20"/>
        </w:rPr>
        <w:t>MM/DD/YYYY, __ AM / PM]</w:t>
      </w:r>
    </w:p>
    <w:p w14:paraId="3D9F79AF" w14:textId="77777777" w:rsidR="00CE608D" w:rsidRDefault="00CE60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Open Sans" w:eastAsia="Open Sans" w:hAnsi="Open Sans" w:cs="Open Sans"/>
          <w:b/>
          <w:color w:val="23389A"/>
          <w:sz w:val="36"/>
          <w:szCs w:val="36"/>
        </w:rPr>
      </w:pPr>
    </w:p>
    <w:p w14:paraId="2A0BFA2E" w14:textId="77777777" w:rsidR="00CE608D" w:rsidRDefault="00CA0511">
      <w:pPr>
        <w:spacing w:before="240" w:after="240" w:line="276" w:lineRule="auto"/>
        <w:jc w:val="center"/>
        <w:rPr>
          <w:rFonts w:ascii="Open Sans" w:eastAsia="Open Sans" w:hAnsi="Open Sans" w:cs="Open Sans"/>
          <w:b/>
          <w:color w:val="23389A"/>
          <w:sz w:val="36"/>
          <w:szCs w:val="36"/>
        </w:rPr>
      </w:pPr>
      <w:r>
        <w:rPr>
          <w:rFonts w:ascii="Open Sans" w:eastAsia="Open Sans" w:hAnsi="Open Sans" w:cs="Open Sans"/>
          <w:b/>
          <w:i/>
          <w:sz w:val="22"/>
          <w:szCs w:val="22"/>
        </w:rPr>
        <w:t>IN THE MATTER OF THE RESIDENTIAL TENANCY ACT, SBC 2002, c 78</w:t>
      </w:r>
    </w:p>
    <w:p w14:paraId="288974C1" w14:textId="77777777" w:rsidR="00CE608D" w:rsidRDefault="00CA0511">
      <w:pPr>
        <w:spacing w:before="240" w:after="240" w:line="276" w:lineRule="auto"/>
        <w:jc w:val="center"/>
        <w:rPr>
          <w:rFonts w:ascii="Open Sans" w:eastAsia="Open Sans" w:hAnsi="Open Sans" w:cs="Open Sans"/>
          <w:b/>
          <w:color w:val="23389A"/>
          <w:sz w:val="36"/>
          <w:szCs w:val="36"/>
        </w:rPr>
        <w:sectPr w:rsidR="00CE608D">
          <w:headerReference w:type="default" r:id="rId7"/>
          <w:footerReference w:type="even" r:id="rId8"/>
          <w:footerReference w:type="default" r:id="rId9"/>
          <w:pgSz w:w="12240" w:h="15840"/>
          <w:pgMar w:top="1832" w:right="1440" w:bottom="1440" w:left="1440" w:header="0" w:footer="0" w:gutter="0"/>
          <w:pgNumType w:start="1"/>
          <w:cols w:space="720"/>
        </w:sectPr>
      </w:pPr>
      <w:r>
        <w:rPr>
          <w:rFonts w:ascii="Open Sans" w:eastAsia="Open Sans" w:hAnsi="Open Sans" w:cs="Open Sans"/>
          <w:b/>
          <w:color w:val="23389A"/>
          <w:sz w:val="40"/>
          <w:szCs w:val="40"/>
        </w:rPr>
        <w:t>Index of Tenant’s Evidence</w:t>
      </w:r>
    </w:p>
    <w:p w14:paraId="3C50D2E0" w14:textId="77777777" w:rsidR="00CE608D" w:rsidRDefault="00CE608D">
      <w:pPr>
        <w:spacing w:line="276" w:lineRule="auto"/>
        <w:rPr>
          <w:rFonts w:ascii="Open Sans" w:eastAsia="Open Sans" w:hAnsi="Open Sans" w:cs="Open Sans"/>
          <w:sz w:val="2"/>
          <w:szCs w:val="2"/>
        </w:rPr>
        <w:sectPr w:rsidR="00CE608D">
          <w:type w:val="continuous"/>
          <w:pgSz w:w="12240" w:h="15840"/>
          <w:pgMar w:top="1832" w:right="1440" w:bottom="1440" w:left="1440" w:header="0" w:footer="0" w:gutter="0"/>
          <w:cols w:num="2" w:space="720" w:equalWidth="0">
            <w:col w:w="4320" w:space="720"/>
            <w:col w:w="4320" w:space="0"/>
          </w:cols>
        </w:sectPr>
      </w:pPr>
    </w:p>
    <w:p w14:paraId="03B6AF26" w14:textId="77777777" w:rsidR="00CE608D" w:rsidRDefault="00CE608D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4"/>
        <w:tblW w:w="946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1665"/>
        <w:gridCol w:w="1920"/>
        <w:gridCol w:w="4275"/>
      </w:tblGrid>
      <w:tr w:rsidR="00CE608D" w14:paraId="349CF180" w14:textId="77777777">
        <w:trPr>
          <w:trHeight w:val="311"/>
        </w:trPr>
        <w:tc>
          <w:tcPr>
            <w:tcW w:w="1605" w:type="dxa"/>
            <w:shd w:val="clear" w:color="auto" w:fill="3A6AFA"/>
            <w:vAlign w:val="center"/>
          </w:tcPr>
          <w:p w14:paraId="1269FB21" w14:textId="77777777" w:rsidR="00CE608D" w:rsidRDefault="00CA0511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Tab</w:t>
            </w:r>
          </w:p>
        </w:tc>
        <w:tc>
          <w:tcPr>
            <w:tcW w:w="1665" w:type="dxa"/>
            <w:shd w:val="clear" w:color="auto" w:fill="3A6AFA"/>
            <w:vAlign w:val="center"/>
          </w:tcPr>
          <w:p w14:paraId="06D3EEEB" w14:textId="77777777" w:rsidR="00CE608D" w:rsidRDefault="00CA0511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Page</w:t>
            </w:r>
          </w:p>
        </w:tc>
        <w:tc>
          <w:tcPr>
            <w:tcW w:w="1920" w:type="dxa"/>
            <w:shd w:val="clear" w:color="auto" w:fill="3A6AFA"/>
            <w:vAlign w:val="center"/>
          </w:tcPr>
          <w:p w14:paraId="0B815D41" w14:textId="77777777" w:rsidR="00CE608D" w:rsidRDefault="00CA0511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4275" w:type="dxa"/>
            <w:shd w:val="clear" w:color="auto" w:fill="3A6AFA"/>
            <w:vAlign w:val="center"/>
          </w:tcPr>
          <w:p w14:paraId="7CE33CB5" w14:textId="77777777" w:rsidR="00CE608D" w:rsidRDefault="00CA0511">
            <w:pPr>
              <w:spacing w:line="276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20"/>
                <w:szCs w:val="20"/>
              </w:rPr>
              <w:t>Document</w:t>
            </w:r>
          </w:p>
        </w:tc>
      </w:tr>
      <w:tr w:rsidR="00CE608D" w14:paraId="59A08144" w14:textId="77777777">
        <w:trPr>
          <w:trHeight w:val="311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9E2F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Cover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62D05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1-5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D848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April 8, 2021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163B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Tenant’s submissions</w:t>
            </w:r>
          </w:p>
        </w:tc>
      </w:tr>
      <w:tr w:rsidR="00CE608D" w14:paraId="086E7218" w14:textId="77777777">
        <w:trPr>
          <w:trHeight w:val="311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BF181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Tab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DFF7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6-11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8FB8A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Sept. 1, 2018</w:t>
            </w:r>
          </w:p>
        </w:tc>
        <w:tc>
          <w:tcPr>
            <w:tcW w:w="4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E43B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Tenancy agreement</w:t>
            </w:r>
          </w:p>
        </w:tc>
      </w:tr>
      <w:tr w:rsidR="00CE608D" w14:paraId="4ADDD6C3" w14:textId="77777777">
        <w:trPr>
          <w:trHeight w:val="311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BC136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Tab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FAD4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12-14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65210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April 2, 2021</w:t>
            </w:r>
          </w:p>
        </w:tc>
        <w:tc>
          <w:tcPr>
            <w:tcW w:w="4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6E862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Tenant’s affidavit</w:t>
            </w:r>
          </w:p>
        </w:tc>
      </w:tr>
      <w:tr w:rsidR="00CE608D" w14:paraId="32B344EC" w14:textId="77777777">
        <w:trPr>
          <w:trHeight w:val="311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4C48B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Tab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4C9D5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15-19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FD933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Feb-March 2021</w:t>
            </w:r>
          </w:p>
        </w:tc>
        <w:tc>
          <w:tcPr>
            <w:tcW w:w="4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7E39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Photos of repair issues</w:t>
            </w:r>
          </w:p>
        </w:tc>
      </w:tr>
      <w:tr w:rsidR="00CE608D" w14:paraId="643D27C1" w14:textId="77777777">
        <w:trPr>
          <w:trHeight w:val="311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E103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Tab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FEA50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20-21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CB7B5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March 2021</w:t>
            </w:r>
          </w:p>
        </w:tc>
        <w:tc>
          <w:tcPr>
            <w:tcW w:w="4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080E1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Witness statements about repair issues</w:t>
            </w:r>
          </w:p>
        </w:tc>
      </w:tr>
      <w:tr w:rsidR="00CE608D" w14:paraId="46441EB2" w14:textId="77777777">
        <w:trPr>
          <w:trHeight w:val="311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B063C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Tab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AED96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22-23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5967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Feb-March 2021</w:t>
            </w:r>
          </w:p>
        </w:tc>
        <w:tc>
          <w:tcPr>
            <w:tcW w:w="4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789F4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Tenant’s letters requesting repairs</w:t>
            </w:r>
          </w:p>
        </w:tc>
      </w:tr>
      <w:tr w:rsidR="00CE608D" w14:paraId="2479B2E9" w14:textId="77777777">
        <w:trPr>
          <w:trHeight w:val="311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A7053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Tab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FBF1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24-31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51394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March 23, 2020</w:t>
            </w:r>
          </w:p>
        </w:tc>
        <w:tc>
          <w:tcPr>
            <w:tcW w:w="4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D1C76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RTB decision: “062021_Decision6281”</w:t>
            </w:r>
          </w:p>
        </w:tc>
      </w:tr>
      <w:tr w:rsidR="00CE608D" w14:paraId="6F7350B4" w14:textId="77777777">
        <w:trPr>
          <w:trHeight w:val="615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15887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Tab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229C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32-57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2A658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March 16, 2020</w:t>
            </w:r>
          </w:p>
        </w:tc>
        <w:tc>
          <w:tcPr>
            <w:tcW w:w="4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4587C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i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i/>
                <w:sz w:val="18"/>
                <w:szCs w:val="18"/>
              </w:rPr>
              <w:t>BC Supreme Court decision: Guevara v. Louie</w:t>
            </w:r>
          </w:p>
        </w:tc>
      </w:tr>
      <w:tr w:rsidR="00CE608D" w14:paraId="2C662D42" w14:textId="77777777">
        <w:trPr>
          <w:trHeight w:val="311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0A6B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Tab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87C9E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58-60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199C1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May 2020</w:t>
            </w:r>
          </w:p>
        </w:tc>
        <w:tc>
          <w:tcPr>
            <w:tcW w:w="4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47194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RTB Policy Guideline 5: Duty to Minimize Loss</w:t>
            </w:r>
          </w:p>
        </w:tc>
      </w:tr>
      <w:tr w:rsidR="00CE608D" w14:paraId="56C4D8B8" w14:textId="77777777">
        <w:trPr>
          <w:trHeight w:val="311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056E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Tab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3F9A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61-63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8CD56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April 4, 2021</w:t>
            </w:r>
          </w:p>
        </w:tc>
        <w:tc>
          <w:tcPr>
            <w:tcW w:w="4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A46A4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RTB Monetary Order Worksheet</w:t>
            </w:r>
          </w:p>
        </w:tc>
      </w:tr>
      <w:tr w:rsidR="00CE608D" w14:paraId="6216426E" w14:textId="77777777">
        <w:trPr>
          <w:trHeight w:val="311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EE33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Tab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0EED3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64-65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6D564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April 5, 2021</w:t>
            </w:r>
          </w:p>
        </w:tc>
        <w:tc>
          <w:tcPr>
            <w:tcW w:w="4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34C4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RTB Digital Evidence Worksheet</w:t>
            </w:r>
          </w:p>
        </w:tc>
      </w:tr>
      <w:tr w:rsidR="00CE608D" w14:paraId="10F76D82" w14:textId="77777777">
        <w:trPr>
          <w:trHeight w:val="311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F6023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Tab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7E0F5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66-67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DB9FE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March 31, 2021</w:t>
            </w:r>
          </w:p>
        </w:tc>
        <w:tc>
          <w:tcPr>
            <w:tcW w:w="4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3ECF" w14:textId="77777777" w:rsidR="00CE608D" w:rsidRDefault="00CA0511">
            <w:pPr>
              <w:spacing w:before="120" w:after="120" w:line="276" w:lineRule="auto"/>
              <w:ind w:left="-28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BC Property Assessment report</w:t>
            </w:r>
          </w:p>
        </w:tc>
      </w:tr>
    </w:tbl>
    <w:p w14:paraId="7F30D3B0" w14:textId="77777777" w:rsidR="00CE608D" w:rsidRDefault="00CE608D">
      <w:pPr>
        <w:spacing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60160" w14:textId="77777777" w:rsidR="00CE608D" w:rsidRDefault="00CE608D">
      <w:pPr>
        <w:spacing w:line="276" w:lineRule="auto"/>
        <w:rPr>
          <w:rFonts w:ascii="Open Sans" w:eastAsia="Open Sans" w:hAnsi="Open Sans" w:cs="Open Sans"/>
          <w:sz w:val="22"/>
          <w:szCs w:val="22"/>
        </w:rPr>
      </w:pPr>
    </w:p>
    <w:sectPr w:rsidR="00CE608D">
      <w:type w:val="continuous"/>
      <w:pgSz w:w="12240" w:h="15840"/>
      <w:pgMar w:top="1832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D1D4" w14:textId="77777777" w:rsidR="00CA0511" w:rsidRDefault="00CA0511">
      <w:r>
        <w:separator/>
      </w:r>
    </w:p>
  </w:endnote>
  <w:endnote w:type="continuationSeparator" w:id="0">
    <w:p w14:paraId="52D8953E" w14:textId="77777777" w:rsidR="00CA0511" w:rsidRDefault="00CA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FE3A" w14:textId="77777777" w:rsidR="00CE608D" w:rsidRDefault="00CA05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B14F133" w14:textId="77777777" w:rsidR="00CE608D" w:rsidRDefault="00CE60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9F82" w14:textId="51774ABE" w:rsidR="00CE608D" w:rsidRDefault="00CE60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C958" w14:textId="77777777" w:rsidR="00CA0511" w:rsidRDefault="00CA0511">
      <w:r>
        <w:separator/>
      </w:r>
    </w:p>
  </w:footnote>
  <w:footnote w:type="continuationSeparator" w:id="0">
    <w:p w14:paraId="6868F305" w14:textId="77777777" w:rsidR="00CA0511" w:rsidRDefault="00CA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5C30" w14:textId="77FD74D0" w:rsidR="00CE608D" w:rsidRDefault="00CE60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8D"/>
    <w:rsid w:val="001B1E32"/>
    <w:rsid w:val="00CA0511"/>
    <w:rsid w:val="00C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5DAC"/>
  <w15:docId w15:val="{DDED98E1-11FC-43B8-B6CE-13BD9415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A7B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D2A7B"/>
    <w:pPr>
      <w:ind w:left="720"/>
      <w:contextualSpacing/>
    </w:pPr>
  </w:style>
  <w:style w:type="character" w:styleId="Hyperlink">
    <w:name w:val="Hyperlink"/>
    <w:uiPriority w:val="99"/>
    <w:rsid w:val="00135050"/>
    <w:rPr>
      <w:rFonts w:cs="Times New Roman"/>
      <w:color w:val="BC5FBC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4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76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4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769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C4769"/>
  </w:style>
  <w:style w:type="paragraph" w:styleId="NormalWeb">
    <w:name w:val="Normal (Web)"/>
    <w:basedOn w:val="Normal"/>
    <w:uiPriority w:val="99"/>
    <w:semiHidden/>
    <w:unhideWhenUsed/>
    <w:rsid w:val="003C4769"/>
    <w:pPr>
      <w:spacing w:before="100" w:beforeAutospacing="1" w:after="100" w:afterAutospacing="1"/>
    </w:pPr>
    <w:rPr>
      <w:lang w:val="en-CA" w:eastAsia="ja-JP"/>
    </w:rPr>
  </w:style>
  <w:style w:type="character" w:styleId="Strong">
    <w:name w:val="Strong"/>
    <w:basedOn w:val="DefaultParagraphFont"/>
    <w:uiPriority w:val="22"/>
    <w:qFormat/>
    <w:rsid w:val="003C4769"/>
    <w:rPr>
      <w:b/>
      <w:bCs/>
    </w:rPr>
  </w:style>
  <w:style w:type="character" w:styleId="Emphasis">
    <w:name w:val="Emphasis"/>
    <w:basedOn w:val="DefaultParagraphFont"/>
    <w:uiPriority w:val="20"/>
    <w:qFormat/>
    <w:rsid w:val="003C4769"/>
    <w:rPr>
      <w:i/>
      <w:iCs/>
    </w:rPr>
  </w:style>
  <w:style w:type="paragraph" w:customStyle="1" w:styleId="rteindent1">
    <w:name w:val="rteindent1"/>
    <w:basedOn w:val="Normal"/>
    <w:rsid w:val="003C4769"/>
    <w:pPr>
      <w:spacing w:before="100" w:beforeAutospacing="1" w:after="100" w:afterAutospacing="1"/>
    </w:pPr>
    <w:rPr>
      <w:lang w:val="en-CA" w:eastAsia="ja-JP"/>
    </w:rPr>
  </w:style>
  <w:style w:type="paragraph" w:styleId="NoSpacing">
    <w:name w:val="No Spacing"/>
    <w:uiPriority w:val="1"/>
    <w:qFormat/>
    <w:rsid w:val="003C4769"/>
    <w:rPr>
      <w:lang w:eastAsia="en-US"/>
    </w:rPr>
  </w:style>
  <w:style w:type="table" w:styleId="TableGrid">
    <w:name w:val="Table Grid"/>
    <w:basedOn w:val="TableNormal"/>
    <w:uiPriority w:val="59"/>
    <w:rsid w:val="00DB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k6o61HNhxcZ8pO/OuUzbN+dejw==">AMUW2mVckXP6GbFLxuW+ZLD102gwR9aHxYIIgG3kfOVU7IILds3AzYs8mnntegdOCYqY9JOHnH23NgTLCb+Un2V2TT6QPfvw92O5xzWNNJeW20MYt4z/yHw=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Sakamoto</dc:creator>
  <cp:lastModifiedBy>Julia Silva</cp:lastModifiedBy>
  <cp:revision>2</cp:revision>
  <dcterms:created xsi:type="dcterms:W3CDTF">2021-06-23T19:12:00Z</dcterms:created>
  <dcterms:modified xsi:type="dcterms:W3CDTF">2022-04-07T00:33:00Z</dcterms:modified>
</cp:coreProperties>
</file>